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AB" w:rsidRDefault="00322813">
      <w:pPr>
        <w:pStyle w:val="Heading4"/>
        <w:rPr>
          <w:sz w:val="1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-548640</wp:posOffset>
                </wp:positionH>
                <wp:positionV relativeFrom="paragraph">
                  <wp:posOffset>-182880</wp:posOffset>
                </wp:positionV>
                <wp:extent cx="256095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8D9" w:rsidRDefault="00CE28D9">
                            <w:pPr>
                              <w:jc w:val="both"/>
                            </w:pPr>
                            <w:r>
                              <w:rPr>
                                <w:b/>
                                <w:sz w:val="16"/>
                              </w:rPr>
                              <w:t>Return 1 Copy to Child and Adult Nutrition Services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2pt;margin-top:-14.4pt;width:201.6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" o:allowincell="f" filled="f">
                <v:textbox inset="1pt,1pt,1pt,1pt">
                  <w:txbxContent>
                    <w:p w:rsidR="00CE28D9" w:rsidRDefault="00CE28D9">
                      <w:pPr>
                        <w:jc w:val="both"/>
                      </w:pPr>
                      <w:r>
                        <w:rPr>
                          <w:b/>
                          <w:sz w:val="16"/>
                        </w:rPr>
                        <w:t>Return 1 Copy to Child and Adult Nutrition Services</w:t>
                      </w:r>
                    </w:p>
                  </w:txbxContent>
                </v:textbox>
              </v:rect>
            </w:pict>
          </mc:Fallback>
        </mc:AlternateContent>
      </w:r>
    </w:p>
    <w:p w:rsidR="00A34FAB" w:rsidRDefault="00D528D5">
      <w:pPr>
        <w:pStyle w:val="Heading4"/>
        <w:rPr>
          <w:sz w:val="18"/>
        </w:rPr>
      </w:pPr>
      <w:r w:rsidRPr="00434BF2">
        <w:rPr>
          <w:sz w:val="18"/>
        </w:rPr>
        <w:t>20</w:t>
      </w:r>
      <w:r w:rsidR="0066182B">
        <w:rPr>
          <w:sz w:val="18"/>
        </w:rPr>
        <w:t>1</w:t>
      </w:r>
      <w:r w:rsidR="001C4157">
        <w:rPr>
          <w:sz w:val="18"/>
        </w:rPr>
        <w:t>5</w:t>
      </w:r>
      <w:r w:rsidR="00A34FAB">
        <w:rPr>
          <w:sz w:val="18"/>
        </w:rPr>
        <w:t xml:space="preserve"> SUMMER </w:t>
      </w:r>
      <w:smartTag w:uri="urn:schemas-microsoft-com:office:smarttags" w:element="stockticker">
        <w:r w:rsidR="00A34FAB">
          <w:rPr>
            <w:sz w:val="18"/>
          </w:rPr>
          <w:t>FOOD</w:t>
        </w:r>
      </w:smartTag>
      <w:r w:rsidR="00A34FAB">
        <w:rPr>
          <w:sz w:val="18"/>
        </w:rPr>
        <w:t xml:space="preserve"> SERVICE PROGRAM APPLICATION/AGREEMENT</w:t>
      </w:r>
    </w:p>
    <w:p w:rsidR="00A34FAB" w:rsidRDefault="00A34FAB">
      <w:pPr>
        <w:pStyle w:val="Heading4"/>
        <w:pBdr>
          <w:bottom w:val="double" w:sz="4" w:space="1" w:color="auto"/>
        </w:pBdr>
        <w:jc w:val="left"/>
        <w:rPr>
          <w:sz w:val="18"/>
        </w:rPr>
      </w:pPr>
    </w:p>
    <w:p w:rsidR="00A34FAB" w:rsidRDefault="00A34FAB">
      <w:pPr>
        <w:pBdr>
          <w:bottom w:val="double" w:sz="4" w:space="1" w:color="auto"/>
        </w:pBdr>
        <w:jc w:val="center"/>
        <w:rPr>
          <w:b/>
          <w:sz w:val="18"/>
        </w:rPr>
      </w:pPr>
      <w:r>
        <w:rPr>
          <w:b/>
          <w:sz w:val="18"/>
        </w:rPr>
        <w:t>Part</w:t>
      </w:r>
      <w:r w:rsidR="009521EB">
        <w:rPr>
          <w:b/>
          <w:sz w:val="18"/>
        </w:rPr>
        <w:t xml:space="preserve"> 4</w:t>
      </w:r>
      <w:r>
        <w:rPr>
          <w:b/>
          <w:sz w:val="18"/>
        </w:rPr>
        <w:t xml:space="preserve"> – FREE MEAL POLICY STATEMENT</w:t>
      </w:r>
    </w:p>
    <w:p w:rsidR="00A34FAB" w:rsidRDefault="00A34FAB">
      <w:pPr>
        <w:pBdr>
          <w:bottom w:val="double" w:sz="4" w:space="1" w:color="auto"/>
        </w:pBdr>
        <w:jc w:val="center"/>
        <w:rPr>
          <w:b/>
          <w:sz w:val="18"/>
        </w:rPr>
      </w:pPr>
      <w:r>
        <w:rPr>
          <w:b/>
          <w:sz w:val="18"/>
        </w:rPr>
        <w:t>PRICING AND NON-PRICING PROGRAMS</w:t>
      </w:r>
    </w:p>
    <w:p w:rsidR="00A34FAB" w:rsidRDefault="00A34FAB">
      <w:pPr>
        <w:suppressAutoHyphens/>
      </w:pPr>
    </w:p>
    <w:p w:rsidR="00A34FAB" w:rsidRDefault="00A34FAB">
      <w:pPr>
        <w:pStyle w:val="BodyText3"/>
        <w:suppressAutoHyphens w:val="0"/>
      </w:pPr>
      <w:r w:rsidRPr="00F41142">
        <w:rPr>
          <w:szCs w:val="18"/>
        </w:rPr>
        <w:t>1</w:t>
      </w:r>
      <w:r w:rsidRPr="00C35E96">
        <w:rPr>
          <w:sz w:val="24"/>
          <w:szCs w:val="24"/>
        </w:rPr>
        <w:t>.</w:t>
      </w:r>
      <w:r w:rsidR="00F41142">
        <w:rPr>
          <w:sz w:val="24"/>
          <w:szCs w:val="24"/>
        </w:rPr>
        <w:t xml:space="preserve"> </w:t>
      </w:r>
      <w:r>
        <w:t>Please check your preference:</w:t>
      </w:r>
    </w:p>
    <w:p w:rsidR="00A34FAB" w:rsidRDefault="00A34FAB">
      <w:pPr>
        <w:rPr>
          <w:sz w:val="18"/>
        </w:rPr>
      </w:pPr>
    </w:p>
    <w:p w:rsidR="00A34FAB" w:rsidRDefault="00A34FAB">
      <w:pPr>
        <w:rPr>
          <w:sz w:val="18"/>
        </w:rPr>
      </w:pPr>
    </w:p>
    <w:p w:rsidR="00A34FAB" w:rsidRDefault="00B54CEB">
      <w:pPr>
        <w:ind w:left="720"/>
        <w:rPr>
          <w:sz w:val="18"/>
        </w:rPr>
      </w:pPr>
      <w:r>
        <w:rPr>
          <w:rFonts w:ascii="Webdings" w:hAnsi="Webdings"/>
          <w:snapToGrid w:val="0"/>
        </w:rPr>
        <w:fldChar w:fldCharType="begin">
          <w:ffData>
            <w:name w:val="Check3"/>
            <w:enabled/>
            <w:calcOnExit w:val="0"/>
            <w:checkBox>
              <w:sizeAuto/>
              <w:default w:val="0"/>
            </w:checkBox>
          </w:ffData>
        </w:fldChar>
      </w:r>
      <w:bookmarkStart w:id="0" w:name="Check3"/>
      <w:r>
        <w:rPr>
          <w:rFonts w:ascii="Webdings" w:hAnsi="Webdings"/>
          <w:snapToGrid w:val="0"/>
        </w:rPr>
        <w:instrText xml:space="preserve"> FORMCHECKBOX </w:instrText>
      </w:r>
      <w:r w:rsidR="000E422A">
        <w:rPr>
          <w:rFonts w:ascii="Webdings" w:hAnsi="Webdings"/>
          <w:snapToGrid w:val="0"/>
        </w:rPr>
      </w:r>
      <w:r w:rsidR="000E422A">
        <w:rPr>
          <w:rFonts w:ascii="Webdings" w:hAnsi="Webdings"/>
          <w:snapToGrid w:val="0"/>
        </w:rPr>
        <w:fldChar w:fldCharType="separate"/>
      </w:r>
      <w:r>
        <w:rPr>
          <w:rFonts w:ascii="Webdings" w:hAnsi="Webdings"/>
          <w:snapToGrid w:val="0"/>
        </w:rPr>
        <w:fldChar w:fldCharType="end"/>
      </w:r>
      <w:bookmarkEnd w:id="0"/>
      <w:r w:rsidR="00A34FAB">
        <w:rPr>
          <w:sz w:val="18"/>
        </w:rPr>
        <w:t xml:space="preserve"> </w:t>
      </w:r>
      <w:r>
        <w:rPr>
          <w:sz w:val="18"/>
        </w:rPr>
        <w:t xml:space="preserve"> </w:t>
      </w:r>
      <w:r w:rsidR="00A34FAB">
        <w:rPr>
          <w:sz w:val="18"/>
        </w:rPr>
        <w:t>The agency operates a pricing program</w:t>
      </w:r>
    </w:p>
    <w:p w:rsidR="00A34FAB" w:rsidRDefault="00A34FAB">
      <w:pPr>
        <w:ind w:left="720"/>
        <w:rPr>
          <w:sz w:val="18"/>
        </w:rPr>
      </w:pPr>
    </w:p>
    <w:p w:rsidR="00A34FAB" w:rsidRDefault="00A34FAB">
      <w:pPr>
        <w:ind w:left="720"/>
        <w:rPr>
          <w:sz w:val="18"/>
        </w:rPr>
      </w:pPr>
    </w:p>
    <w:p w:rsidR="00A34FAB" w:rsidRDefault="00B54CEB">
      <w:pPr>
        <w:ind w:left="720"/>
        <w:rPr>
          <w:sz w:val="18"/>
        </w:rPr>
      </w:pPr>
      <w:r>
        <w:rPr>
          <w:rFonts w:ascii="Webdings" w:hAnsi="Webdings"/>
          <w:snapToGrid w:val="0"/>
        </w:rPr>
        <w:fldChar w:fldCharType="begin">
          <w:ffData>
            <w:name w:val="Check4"/>
            <w:enabled/>
            <w:calcOnExit w:val="0"/>
            <w:checkBox>
              <w:sizeAuto/>
              <w:default w:val="0"/>
            </w:checkBox>
          </w:ffData>
        </w:fldChar>
      </w:r>
      <w:bookmarkStart w:id="1" w:name="Check4"/>
      <w:r>
        <w:rPr>
          <w:rFonts w:ascii="Webdings" w:hAnsi="Webdings"/>
          <w:snapToGrid w:val="0"/>
        </w:rPr>
        <w:instrText xml:space="preserve"> FORMCHECKBOX </w:instrText>
      </w:r>
      <w:r w:rsidR="000E422A">
        <w:rPr>
          <w:rFonts w:ascii="Webdings" w:hAnsi="Webdings"/>
          <w:snapToGrid w:val="0"/>
        </w:rPr>
      </w:r>
      <w:r w:rsidR="000E422A">
        <w:rPr>
          <w:rFonts w:ascii="Webdings" w:hAnsi="Webdings"/>
          <w:snapToGrid w:val="0"/>
        </w:rPr>
        <w:fldChar w:fldCharType="separate"/>
      </w:r>
      <w:r>
        <w:rPr>
          <w:rFonts w:ascii="Webdings" w:hAnsi="Webdings"/>
          <w:snapToGrid w:val="0"/>
        </w:rPr>
        <w:fldChar w:fldCharType="end"/>
      </w:r>
      <w:bookmarkEnd w:id="1"/>
      <w:r>
        <w:rPr>
          <w:rFonts w:ascii="Webdings" w:hAnsi="Webdings"/>
          <w:snapToGrid w:val="0"/>
        </w:rPr>
        <w:t></w:t>
      </w:r>
      <w:r w:rsidR="00A34FAB">
        <w:rPr>
          <w:sz w:val="18"/>
        </w:rPr>
        <w:t>The agency operates a non</w:t>
      </w:r>
      <w:r w:rsidR="00952B05">
        <w:rPr>
          <w:sz w:val="18"/>
        </w:rPr>
        <w:t>-</w:t>
      </w:r>
      <w:r w:rsidR="00A34FAB">
        <w:rPr>
          <w:sz w:val="18"/>
        </w:rPr>
        <w:t>pricing program</w:t>
      </w:r>
    </w:p>
    <w:p w:rsidR="00A34FAB" w:rsidRDefault="00A34FAB">
      <w:pPr>
        <w:rPr>
          <w:sz w:val="18"/>
        </w:rPr>
      </w:pPr>
    </w:p>
    <w:p w:rsidR="00A34FAB" w:rsidRDefault="00A34FAB">
      <w:pPr>
        <w:rPr>
          <w:sz w:val="18"/>
        </w:rPr>
      </w:pPr>
    </w:p>
    <w:p w:rsidR="00A34FAB" w:rsidRDefault="00A34FAB">
      <w:pPr>
        <w:pStyle w:val="BodyText3"/>
        <w:rPr>
          <w:i/>
        </w:rPr>
      </w:pPr>
      <w:r>
        <w:rPr>
          <w:i/>
        </w:rPr>
        <w:t>By signing this statement the local agency assures the Child and Adult Nutrition Services (CANS) office it will uniformly implement the following free meal policy statement in all SFSP sites under its jurisdiction.  This policy statement is permanent and remains in effect until it is modified either by the local agency or the state agency.</w:t>
      </w:r>
    </w:p>
    <w:p w:rsidR="00A34FAB" w:rsidRDefault="00A34FAB">
      <w:pPr>
        <w:suppressAutoHyphens/>
        <w:rPr>
          <w:i/>
          <w:sz w:val="18"/>
        </w:rPr>
      </w:pPr>
    </w:p>
    <w:p w:rsidR="00A34FAB" w:rsidRDefault="00A34FAB">
      <w:pPr>
        <w:suppressAutoHyphens/>
        <w:rPr>
          <w:i/>
          <w:sz w:val="18"/>
        </w:rPr>
      </w:pPr>
    </w:p>
    <w:p w:rsidR="00A34FAB" w:rsidRDefault="00A34FAB">
      <w:pPr>
        <w:suppressAutoHyphens/>
        <w:rPr>
          <w:i/>
          <w:sz w:val="18"/>
        </w:rPr>
      </w:pPr>
    </w:p>
    <w:tbl>
      <w:tblPr>
        <w:tblW w:w="0" w:type="auto"/>
        <w:tblInd w:w="108" w:type="dxa"/>
        <w:tblLook w:val="01E0" w:firstRow="1" w:lastRow="1" w:firstColumn="1" w:lastColumn="1" w:noHBand="0" w:noVBand="0"/>
      </w:tblPr>
      <w:tblGrid>
        <w:gridCol w:w="6300"/>
        <w:gridCol w:w="900"/>
        <w:gridCol w:w="2610"/>
      </w:tblGrid>
      <w:tr w:rsidR="00A030D7" w:rsidRPr="00E37A7F" w:rsidTr="00E37A7F">
        <w:trPr>
          <w:trHeight w:val="297"/>
        </w:trPr>
        <w:tc>
          <w:tcPr>
            <w:tcW w:w="6300" w:type="dxa"/>
            <w:tcBorders>
              <w:bottom w:val="single" w:sz="4" w:space="0" w:color="auto"/>
            </w:tcBorders>
            <w:shd w:val="clear" w:color="auto" w:fill="auto"/>
            <w:vAlign w:val="bottom"/>
          </w:tcPr>
          <w:p w:rsidR="00A030D7" w:rsidRPr="00E37A7F" w:rsidRDefault="00A030D7" w:rsidP="00E37A7F">
            <w:pPr>
              <w:suppressAutoHyphens/>
              <w:rPr>
                <w:sz w:val="20"/>
              </w:rPr>
            </w:pPr>
            <w:r w:rsidRPr="00E37A7F">
              <w:rPr>
                <w:sz w:val="20"/>
              </w:rPr>
              <w:fldChar w:fldCharType="begin">
                <w:ffData>
                  <w:name w:val="Text1"/>
                  <w:enabled/>
                  <w:calcOnExit w:val="0"/>
                  <w:textInput/>
                </w:ffData>
              </w:fldChar>
            </w:r>
            <w:bookmarkStart w:id="2" w:name="Text1"/>
            <w:r w:rsidRPr="00E37A7F">
              <w:rPr>
                <w:sz w:val="20"/>
              </w:rPr>
              <w:instrText xml:space="preserve"> FORMTEXT </w:instrText>
            </w:r>
            <w:r w:rsidRPr="00E37A7F">
              <w:rPr>
                <w:sz w:val="20"/>
              </w:rPr>
            </w:r>
            <w:r w:rsidRPr="00E37A7F">
              <w:rPr>
                <w:sz w:val="20"/>
              </w:rPr>
              <w:fldChar w:fldCharType="separate"/>
            </w:r>
            <w:r w:rsidRPr="00E37A7F">
              <w:rPr>
                <w:noProof/>
                <w:sz w:val="20"/>
              </w:rPr>
              <w:t> </w:t>
            </w:r>
            <w:r w:rsidRPr="00E37A7F">
              <w:rPr>
                <w:noProof/>
                <w:sz w:val="20"/>
              </w:rPr>
              <w:t> </w:t>
            </w:r>
            <w:r w:rsidRPr="00E37A7F">
              <w:rPr>
                <w:noProof/>
                <w:sz w:val="20"/>
              </w:rPr>
              <w:t> </w:t>
            </w:r>
            <w:r w:rsidRPr="00E37A7F">
              <w:rPr>
                <w:noProof/>
                <w:sz w:val="20"/>
              </w:rPr>
              <w:t> </w:t>
            </w:r>
            <w:r w:rsidRPr="00E37A7F">
              <w:rPr>
                <w:noProof/>
                <w:sz w:val="20"/>
              </w:rPr>
              <w:t> </w:t>
            </w:r>
            <w:r w:rsidRPr="00E37A7F">
              <w:rPr>
                <w:sz w:val="20"/>
              </w:rPr>
              <w:fldChar w:fldCharType="end"/>
            </w:r>
            <w:bookmarkEnd w:id="2"/>
          </w:p>
        </w:tc>
        <w:tc>
          <w:tcPr>
            <w:tcW w:w="900" w:type="dxa"/>
            <w:shd w:val="clear" w:color="auto" w:fill="auto"/>
          </w:tcPr>
          <w:p w:rsidR="00A030D7" w:rsidRPr="00E37A7F" w:rsidRDefault="00A030D7" w:rsidP="00E37A7F">
            <w:pPr>
              <w:suppressAutoHyphens/>
              <w:rPr>
                <w:sz w:val="18"/>
              </w:rPr>
            </w:pPr>
          </w:p>
        </w:tc>
        <w:tc>
          <w:tcPr>
            <w:tcW w:w="2610" w:type="dxa"/>
            <w:tcBorders>
              <w:bottom w:val="single" w:sz="4" w:space="0" w:color="auto"/>
            </w:tcBorders>
            <w:shd w:val="clear" w:color="auto" w:fill="auto"/>
            <w:vAlign w:val="bottom"/>
          </w:tcPr>
          <w:p w:rsidR="00A030D7" w:rsidRPr="00E37A7F" w:rsidRDefault="00A030D7" w:rsidP="00E37A7F">
            <w:pPr>
              <w:suppressAutoHyphens/>
              <w:jc w:val="center"/>
              <w:rPr>
                <w:sz w:val="20"/>
              </w:rPr>
            </w:pPr>
            <w:r w:rsidRPr="00E37A7F">
              <w:rPr>
                <w:sz w:val="20"/>
              </w:rPr>
              <w:fldChar w:fldCharType="begin">
                <w:ffData>
                  <w:name w:val="Text2"/>
                  <w:enabled/>
                  <w:calcOnExit w:val="0"/>
                  <w:textInput/>
                </w:ffData>
              </w:fldChar>
            </w:r>
            <w:bookmarkStart w:id="3" w:name="Text2"/>
            <w:r w:rsidRPr="00E37A7F">
              <w:rPr>
                <w:sz w:val="20"/>
              </w:rPr>
              <w:instrText xml:space="preserve"> FORMTEXT </w:instrText>
            </w:r>
            <w:r w:rsidRPr="00E37A7F">
              <w:rPr>
                <w:sz w:val="20"/>
              </w:rPr>
            </w:r>
            <w:r w:rsidRPr="00E37A7F">
              <w:rPr>
                <w:sz w:val="20"/>
              </w:rPr>
              <w:fldChar w:fldCharType="separate"/>
            </w:r>
            <w:r w:rsidRPr="00E37A7F">
              <w:rPr>
                <w:noProof/>
                <w:sz w:val="20"/>
              </w:rPr>
              <w:t> </w:t>
            </w:r>
            <w:r w:rsidRPr="00E37A7F">
              <w:rPr>
                <w:noProof/>
                <w:sz w:val="20"/>
              </w:rPr>
              <w:t> </w:t>
            </w:r>
            <w:r w:rsidRPr="00E37A7F">
              <w:rPr>
                <w:noProof/>
                <w:sz w:val="20"/>
              </w:rPr>
              <w:t> </w:t>
            </w:r>
            <w:r w:rsidRPr="00E37A7F">
              <w:rPr>
                <w:noProof/>
                <w:sz w:val="20"/>
              </w:rPr>
              <w:t> </w:t>
            </w:r>
            <w:r w:rsidRPr="00E37A7F">
              <w:rPr>
                <w:noProof/>
                <w:sz w:val="20"/>
              </w:rPr>
              <w:t> </w:t>
            </w:r>
            <w:r w:rsidRPr="00E37A7F">
              <w:rPr>
                <w:sz w:val="20"/>
              </w:rPr>
              <w:fldChar w:fldCharType="end"/>
            </w:r>
            <w:bookmarkEnd w:id="3"/>
          </w:p>
        </w:tc>
      </w:tr>
      <w:tr w:rsidR="00A030D7" w:rsidRPr="00E37A7F" w:rsidTr="00E37A7F">
        <w:trPr>
          <w:trHeight w:val="480"/>
        </w:trPr>
        <w:tc>
          <w:tcPr>
            <w:tcW w:w="6300" w:type="dxa"/>
            <w:tcBorders>
              <w:top w:val="single" w:sz="4" w:space="0" w:color="auto"/>
            </w:tcBorders>
            <w:shd w:val="clear" w:color="auto" w:fill="auto"/>
          </w:tcPr>
          <w:p w:rsidR="00A030D7" w:rsidRPr="00E37A7F" w:rsidRDefault="00A030D7" w:rsidP="00E37A7F">
            <w:pPr>
              <w:suppressAutoHyphens/>
              <w:rPr>
                <w:sz w:val="18"/>
              </w:rPr>
            </w:pPr>
            <w:r w:rsidRPr="00E37A7F">
              <w:rPr>
                <w:sz w:val="18"/>
              </w:rPr>
              <w:t>Local Agency</w:t>
            </w:r>
          </w:p>
        </w:tc>
        <w:tc>
          <w:tcPr>
            <w:tcW w:w="900" w:type="dxa"/>
            <w:shd w:val="clear" w:color="auto" w:fill="auto"/>
          </w:tcPr>
          <w:p w:rsidR="00A030D7" w:rsidRPr="00E37A7F" w:rsidRDefault="00A030D7" w:rsidP="00E37A7F">
            <w:pPr>
              <w:suppressAutoHyphens/>
              <w:rPr>
                <w:sz w:val="18"/>
              </w:rPr>
            </w:pPr>
          </w:p>
        </w:tc>
        <w:tc>
          <w:tcPr>
            <w:tcW w:w="2610" w:type="dxa"/>
            <w:tcBorders>
              <w:top w:val="single" w:sz="4" w:space="0" w:color="auto"/>
            </w:tcBorders>
            <w:shd w:val="clear" w:color="auto" w:fill="auto"/>
          </w:tcPr>
          <w:p w:rsidR="00A030D7" w:rsidRPr="00E37A7F" w:rsidRDefault="00A030D7" w:rsidP="00E37A7F">
            <w:pPr>
              <w:suppressAutoHyphens/>
              <w:rPr>
                <w:sz w:val="18"/>
              </w:rPr>
            </w:pPr>
            <w:r w:rsidRPr="00E37A7F">
              <w:rPr>
                <w:sz w:val="18"/>
              </w:rPr>
              <w:t>LA Number</w:t>
            </w:r>
          </w:p>
        </w:tc>
      </w:tr>
      <w:tr w:rsidR="00A030D7" w:rsidRPr="00E37A7F" w:rsidTr="00E37A7F">
        <w:trPr>
          <w:trHeight w:val="480"/>
        </w:trPr>
        <w:tc>
          <w:tcPr>
            <w:tcW w:w="6300" w:type="dxa"/>
            <w:tcBorders>
              <w:bottom w:val="single" w:sz="4" w:space="0" w:color="auto"/>
            </w:tcBorders>
            <w:shd w:val="clear" w:color="auto" w:fill="auto"/>
            <w:vAlign w:val="bottom"/>
          </w:tcPr>
          <w:p w:rsidR="00A030D7" w:rsidRPr="00E37A7F" w:rsidRDefault="00A030D7" w:rsidP="00E37A7F">
            <w:pPr>
              <w:suppressAutoHyphens/>
              <w:rPr>
                <w:sz w:val="18"/>
              </w:rPr>
            </w:pPr>
          </w:p>
        </w:tc>
        <w:tc>
          <w:tcPr>
            <w:tcW w:w="900" w:type="dxa"/>
            <w:shd w:val="clear" w:color="auto" w:fill="auto"/>
          </w:tcPr>
          <w:p w:rsidR="00A030D7" w:rsidRPr="00E37A7F" w:rsidRDefault="00A030D7" w:rsidP="00E37A7F">
            <w:pPr>
              <w:suppressAutoHyphens/>
              <w:rPr>
                <w:sz w:val="18"/>
              </w:rPr>
            </w:pPr>
          </w:p>
        </w:tc>
        <w:tc>
          <w:tcPr>
            <w:tcW w:w="2610" w:type="dxa"/>
            <w:tcBorders>
              <w:bottom w:val="single" w:sz="4" w:space="0" w:color="auto"/>
            </w:tcBorders>
            <w:shd w:val="clear" w:color="auto" w:fill="auto"/>
            <w:vAlign w:val="bottom"/>
          </w:tcPr>
          <w:p w:rsidR="00A030D7" w:rsidRPr="00E37A7F" w:rsidRDefault="00A030D7" w:rsidP="00E37A7F">
            <w:pPr>
              <w:suppressAutoHyphens/>
              <w:jc w:val="center"/>
              <w:rPr>
                <w:sz w:val="18"/>
              </w:rPr>
            </w:pPr>
          </w:p>
        </w:tc>
      </w:tr>
      <w:tr w:rsidR="00A030D7" w:rsidRPr="00E37A7F" w:rsidTr="00E37A7F">
        <w:trPr>
          <w:trHeight w:val="480"/>
        </w:trPr>
        <w:tc>
          <w:tcPr>
            <w:tcW w:w="6300" w:type="dxa"/>
            <w:tcBorders>
              <w:top w:val="single" w:sz="4" w:space="0" w:color="auto"/>
            </w:tcBorders>
            <w:shd w:val="clear" w:color="auto" w:fill="auto"/>
          </w:tcPr>
          <w:p w:rsidR="00A030D7" w:rsidRPr="00E37A7F" w:rsidRDefault="00A030D7" w:rsidP="00E37A7F">
            <w:pPr>
              <w:suppressAutoHyphens/>
              <w:rPr>
                <w:sz w:val="18"/>
              </w:rPr>
            </w:pPr>
            <w:r w:rsidRPr="00E37A7F">
              <w:rPr>
                <w:sz w:val="18"/>
              </w:rPr>
              <w:t>Signature of Authorized Representative</w:t>
            </w:r>
          </w:p>
        </w:tc>
        <w:tc>
          <w:tcPr>
            <w:tcW w:w="900" w:type="dxa"/>
            <w:shd w:val="clear" w:color="auto" w:fill="auto"/>
          </w:tcPr>
          <w:p w:rsidR="00A030D7" w:rsidRPr="00E37A7F" w:rsidRDefault="00A030D7" w:rsidP="00E37A7F">
            <w:pPr>
              <w:suppressAutoHyphens/>
              <w:rPr>
                <w:sz w:val="18"/>
              </w:rPr>
            </w:pPr>
          </w:p>
        </w:tc>
        <w:tc>
          <w:tcPr>
            <w:tcW w:w="2610" w:type="dxa"/>
            <w:tcBorders>
              <w:top w:val="single" w:sz="4" w:space="0" w:color="auto"/>
            </w:tcBorders>
            <w:shd w:val="clear" w:color="auto" w:fill="auto"/>
          </w:tcPr>
          <w:p w:rsidR="00A030D7" w:rsidRPr="00E37A7F" w:rsidRDefault="00A030D7" w:rsidP="00E37A7F">
            <w:pPr>
              <w:suppressAutoHyphens/>
              <w:rPr>
                <w:sz w:val="18"/>
              </w:rPr>
            </w:pPr>
            <w:r w:rsidRPr="00E37A7F">
              <w:rPr>
                <w:sz w:val="18"/>
              </w:rPr>
              <w:t>Date</w:t>
            </w:r>
          </w:p>
        </w:tc>
      </w:tr>
      <w:tr w:rsidR="00A030D7" w:rsidRPr="00E37A7F" w:rsidTr="00E37A7F">
        <w:trPr>
          <w:trHeight w:val="480"/>
        </w:trPr>
        <w:tc>
          <w:tcPr>
            <w:tcW w:w="6300" w:type="dxa"/>
            <w:tcBorders>
              <w:bottom w:val="single" w:sz="4" w:space="0" w:color="auto"/>
            </w:tcBorders>
            <w:shd w:val="clear" w:color="auto" w:fill="auto"/>
            <w:vAlign w:val="bottom"/>
          </w:tcPr>
          <w:p w:rsidR="00A030D7" w:rsidRPr="00E37A7F" w:rsidRDefault="00A030D7" w:rsidP="00E37A7F">
            <w:pPr>
              <w:suppressAutoHyphens/>
              <w:rPr>
                <w:sz w:val="18"/>
              </w:rPr>
            </w:pPr>
          </w:p>
        </w:tc>
        <w:tc>
          <w:tcPr>
            <w:tcW w:w="900" w:type="dxa"/>
            <w:shd w:val="clear" w:color="auto" w:fill="auto"/>
          </w:tcPr>
          <w:p w:rsidR="00A030D7" w:rsidRPr="00E37A7F" w:rsidRDefault="00A030D7" w:rsidP="00E37A7F">
            <w:pPr>
              <w:suppressAutoHyphens/>
              <w:rPr>
                <w:sz w:val="18"/>
              </w:rPr>
            </w:pPr>
          </w:p>
        </w:tc>
        <w:tc>
          <w:tcPr>
            <w:tcW w:w="2610" w:type="dxa"/>
            <w:tcBorders>
              <w:bottom w:val="single" w:sz="4" w:space="0" w:color="auto"/>
            </w:tcBorders>
            <w:shd w:val="clear" w:color="auto" w:fill="auto"/>
            <w:vAlign w:val="bottom"/>
          </w:tcPr>
          <w:p w:rsidR="00A030D7" w:rsidRPr="00E37A7F" w:rsidRDefault="00A030D7" w:rsidP="00E37A7F">
            <w:pPr>
              <w:suppressAutoHyphens/>
              <w:jc w:val="center"/>
              <w:rPr>
                <w:sz w:val="18"/>
              </w:rPr>
            </w:pPr>
          </w:p>
        </w:tc>
      </w:tr>
      <w:tr w:rsidR="00A030D7" w:rsidRPr="00E37A7F" w:rsidTr="00E37A7F">
        <w:trPr>
          <w:trHeight w:val="480"/>
        </w:trPr>
        <w:tc>
          <w:tcPr>
            <w:tcW w:w="6300" w:type="dxa"/>
            <w:tcBorders>
              <w:top w:val="single" w:sz="4" w:space="0" w:color="auto"/>
            </w:tcBorders>
            <w:shd w:val="clear" w:color="auto" w:fill="auto"/>
          </w:tcPr>
          <w:p w:rsidR="00A030D7" w:rsidRPr="00E37A7F" w:rsidRDefault="00A030D7" w:rsidP="00E37A7F">
            <w:pPr>
              <w:suppressAutoHyphens/>
              <w:rPr>
                <w:sz w:val="18"/>
              </w:rPr>
            </w:pPr>
            <w:r w:rsidRPr="00E37A7F">
              <w:rPr>
                <w:sz w:val="18"/>
              </w:rPr>
              <w:t>Signature of CANS Staff</w:t>
            </w:r>
          </w:p>
        </w:tc>
        <w:tc>
          <w:tcPr>
            <w:tcW w:w="900" w:type="dxa"/>
            <w:shd w:val="clear" w:color="auto" w:fill="auto"/>
          </w:tcPr>
          <w:p w:rsidR="00A030D7" w:rsidRPr="00E37A7F" w:rsidRDefault="00A030D7" w:rsidP="00E37A7F">
            <w:pPr>
              <w:suppressAutoHyphens/>
              <w:rPr>
                <w:sz w:val="18"/>
              </w:rPr>
            </w:pPr>
          </w:p>
        </w:tc>
        <w:tc>
          <w:tcPr>
            <w:tcW w:w="2610" w:type="dxa"/>
            <w:tcBorders>
              <w:top w:val="single" w:sz="4" w:space="0" w:color="auto"/>
            </w:tcBorders>
            <w:shd w:val="clear" w:color="auto" w:fill="auto"/>
          </w:tcPr>
          <w:p w:rsidR="00A030D7" w:rsidRPr="00E37A7F" w:rsidRDefault="00A030D7" w:rsidP="00E37A7F">
            <w:pPr>
              <w:suppressAutoHyphens/>
              <w:rPr>
                <w:sz w:val="18"/>
              </w:rPr>
            </w:pPr>
            <w:r w:rsidRPr="00E37A7F">
              <w:rPr>
                <w:sz w:val="18"/>
              </w:rPr>
              <w:t>Date</w:t>
            </w:r>
          </w:p>
        </w:tc>
      </w:tr>
    </w:tbl>
    <w:p w:rsidR="00A34FAB" w:rsidRPr="00A030D7" w:rsidRDefault="00A34FAB">
      <w:pPr>
        <w:suppressAutoHyphens/>
        <w:rPr>
          <w:sz w:val="18"/>
        </w:rPr>
      </w:pPr>
    </w:p>
    <w:p w:rsidR="00A34FAB" w:rsidRDefault="00A34FAB">
      <w:pPr>
        <w:pStyle w:val="BodyTextIndent"/>
        <w:tabs>
          <w:tab w:val="clear" w:pos="0"/>
        </w:tabs>
        <w:ind w:left="0" w:firstLine="0"/>
      </w:pPr>
      <w:r>
        <w:t>The following attachments</w:t>
      </w:r>
      <w:r w:rsidR="001C01B7">
        <w:t xml:space="preserve"> located in Part 8 of the application</w:t>
      </w:r>
      <w:r>
        <w:t xml:space="preserve"> are included in the agreement and considered part of this </w:t>
      </w:r>
      <w:r>
        <w:rPr>
          <w:u w:val="single"/>
        </w:rPr>
        <w:t>Free Meal Policy Statement</w:t>
      </w:r>
      <w:r>
        <w:t xml:space="preserve"> and are updated annually:</w:t>
      </w:r>
    </w:p>
    <w:p w:rsidR="00A34FAB" w:rsidRDefault="00A34FAB">
      <w:pPr>
        <w:pStyle w:val="Heading3"/>
      </w:pPr>
    </w:p>
    <w:tbl>
      <w:tblPr>
        <w:tblW w:w="0" w:type="auto"/>
        <w:tblInd w:w="828" w:type="dxa"/>
        <w:tblLayout w:type="fixed"/>
        <w:tblLook w:val="0000" w:firstRow="0" w:lastRow="0" w:firstColumn="0" w:lastColumn="0" w:noHBand="0" w:noVBand="0"/>
      </w:tblPr>
      <w:tblGrid>
        <w:gridCol w:w="360"/>
        <w:gridCol w:w="1440"/>
        <w:gridCol w:w="270"/>
        <w:gridCol w:w="5218"/>
      </w:tblGrid>
      <w:tr w:rsidR="00A34FAB">
        <w:trPr>
          <w:cantSplit/>
          <w:trHeight w:val="270"/>
        </w:trPr>
        <w:tc>
          <w:tcPr>
            <w:tcW w:w="7288" w:type="dxa"/>
            <w:gridSpan w:val="4"/>
          </w:tcPr>
          <w:p w:rsidR="00A34FAB" w:rsidRDefault="00A34FAB">
            <w:pPr>
              <w:pStyle w:val="Heading5"/>
            </w:pPr>
            <w:r>
              <w:t>Pricing Programs</w:t>
            </w:r>
          </w:p>
        </w:tc>
      </w:tr>
      <w:tr w:rsidR="00A34FAB">
        <w:trPr>
          <w:gridBefore w:val="1"/>
          <w:wBefore w:w="360" w:type="dxa"/>
        </w:trPr>
        <w:tc>
          <w:tcPr>
            <w:tcW w:w="1440" w:type="dxa"/>
          </w:tcPr>
          <w:p w:rsidR="00A34FAB" w:rsidRDefault="00A34FAB">
            <w:pPr>
              <w:rPr>
                <w:sz w:val="20"/>
              </w:rPr>
            </w:pPr>
          </w:p>
        </w:tc>
        <w:tc>
          <w:tcPr>
            <w:tcW w:w="270" w:type="dxa"/>
          </w:tcPr>
          <w:p w:rsidR="00A34FAB" w:rsidRDefault="00A34FAB">
            <w:pPr>
              <w:rPr>
                <w:sz w:val="20"/>
              </w:rPr>
            </w:pPr>
          </w:p>
        </w:tc>
        <w:tc>
          <w:tcPr>
            <w:tcW w:w="5218" w:type="dxa"/>
          </w:tcPr>
          <w:p w:rsidR="00A34FAB" w:rsidRDefault="00A34FAB">
            <w:pPr>
              <w:rPr>
                <w:sz w:val="20"/>
              </w:rPr>
            </w:pPr>
          </w:p>
        </w:tc>
      </w:tr>
      <w:tr w:rsidR="00A34FAB" w:rsidTr="00FB6A47">
        <w:trPr>
          <w:gridBefore w:val="1"/>
          <w:wBefore w:w="360" w:type="dxa"/>
        </w:trPr>
        <w:tc>
          <w:tcPr>
            <w:tcW w:w="1440" w:type="dxa"/>
            <w:shd w:val="clear" w:color="auto" w:fill="auto"/>
          </w:tcPr>
          <w:p w:rsidR="00A34FAB" w:rsidRPr="00FB6A47" w:rsidRDefault="00A34FAB">
            <w:pPr>
              <w:rPr>
                <w:sz w:val="20"/>
              </w:rPr>
            </w:pPr>
            <w:r w:rsidRPr="00FB6A47">
              <w:rPr>
                <w:sz w:val="20"/>
              </w:rPr>
              <w:t xml:space="preserve">Attachment </w:t>
            </w:r>
            <w:r w:rsidR="006E6CAF" w:rsidRPr="00FB6A47">
              <w:rPr>
                <w:sz w:val="20"/>
              </w:rPr>
              <w:t>D</w:t>
            </w:r>
          </w:p>
        </w:tc>
        <w:tc>
          <w:tcPr>
            <w:tcW w:w="270" w:type="dxa"/>
          </w:tcPr>
          <w:p w:rsidR="00A34FAB" w:rsidRDefault="00A34FAB">
            <w:pPr>
              <w:rPr>
                <w:sz w:val="20"/>
              </w:rPr>
            </w:pPr>
            <w:r>
              <w:rPr>
                <w:sz w:val="20"/>
              </w:rPr>
              <w:t>-</w:t>
            </w:r>
          </w:p>
        </w:tc>
        <w:tc>
          <w:tcPr>
            <w:tcW w:w="5218" w:type="dxa"/>
          </w:tcPr>
          <w:p w:rsidR="00A34FAB" w:rsidRDefault="00A34FAB">
            <w:pPr>
              <w:rPr>
                <w:sz w:val="20"/>
              </w:rPr>
            </w:pPr>
            <w:r>
              <w:rPr>
                <w:sz w:val="20"/>
              </w:rPr>
              <w:t>Income Eligibility Guidelines</w:t>
            </w:r>
          </w:p>
        </w:tc>
      </w:tr>
      <w:tr w:rsidR="00A34FAB" w:rsidTr="00FB6A47">
        <w:trPr>
          <w:gridBefore w:val="1"/>
          <w:wBefore w:w="360" w:type="dxa"/>
        </w:trPr>
        <w:tc>
          <w:tcPr>
            <w:tcW w:w="1440" w:type="dxa"/>
            <w:shd w:val="clear" w:color="auto" w:fill="auto"/>
          </w:tcPr>
          <w:p w:rsidR="00A34FAB" w:rsidRPr="00FB6A47" w:rsidRDefault="00A34FAB">
            <w:pPr>
              <w:rPr>
                <w:sz w:val="20"/>
              </w:rPr>
            </w:pPr>
          </w:p>
        </w:tc>
        <w:tc>
          <w:tcPr>
            <w:tcW w:w="270" w:type="dxa"/>
          </w:tcPr>
          <w:p w:rsidR="00A34FAB" w:rsidRDefault="00A34FAB">
            <w:pPr>
              <w:rPr>
                <w:sz w:val="20"/>
              </w:rPr>
            </w:pPr>
          </w:p>
        </w:tc>
        <w:tc>
          <w:tcPr>
            <w:tcW w:w="5218" w:type="dxa"/>
          </w:tcPr>
          <w:p w:rsidR="00A34FAB" w:rsidRDefault="00A34FAB">
            <w:pPr>
              <w:rPr>
                <w:sz w:val="20"/>
              </w:rPr>
            </w:pPr>
          </w:p>
        </w:tc>
      </w:tr>
      <w:tr w:rsidR="00A34FAB" w:rsidTr="00137730">
        <w:trPr>
          <w:gridBefore w:val="1"/>
          <w:wBefore w:w="360" w:type="dxa"/>
        </w:trPr>
        <w:tc>
          <w:tcPr>
            <w:tcW w:w="1440" w:type="dxa"/>
            <w:shd w:val="clear" w:color="auto" w:fill="auto"/>
          </w:tcPr>
          <w:p w:rsidR="00A34FAB" w:rsidRPr="00FB6A47" w:rsidRDefault="00A34FAB">
            <w:pPr>
              <w:rPr>
                <w:sz w:val="20"/>
              </w:rPr>
            </w:pPr>
            <w:r w:rsidRPr="00FB6A47">
              <w:rPr>
                <w:sz w:val="20"/>
              </w:rPr>
              <w:t xml:space="preserve">Attachment </w:t>
            </w:r>
            <w:r w:rsidR="006E6CAF" w:rsidRPr="00FB6A47">
              <w:rPr>
                <w:sz w:val="20"/>
              </w:rPr>
              <w:t>E</w:t>
            </w:r>
          </w:p>
        </w:tc>
        <w:tc>
          <w:tcPr>
            <w:tcW w:w="270" w:type="dxa"/>
          </w:tcPr>
          <w:p w:rsidR="00A34FAB" w:rsidRDefault="00A34FAB">
            <w:pPr>
              <w:rPr>
                <w:sz w:val="20"/>
              </w:rPr>
            </w:pPr>
            <w:r>
              <w:rPr>
                <w:sz w:val="20"/>
              </w:rPr>
              <w:t>-</w:t>
            </w:r>
          </w:p>
        </w:tc>
        <w:tc>
          <w:tcPr>
            <w:tcW w:w="5218" w:type="dxa"/>
          </w:tcPr>
          <w:p w:rsidR="00A34FAB" w:rsidRDefault="00A34FAB" w:rsidP="001C01B7">
            <w:pPr>
              <w:rPr>
                <w:sz w:val="20"/>
              </w:rPr>
            </w:pPr>
            <w:r>
              <w:rPr>
                <w:sz w:val="20"/>
              </w:rPr>
              <w:t>Parent Letter and Eligibility Application (</w:t>
            </w:r>
            <w:r w:rsidR="006E6CAF">
              <w:rPr>
                <w:sz w:val="20"/>
              </w:rPr>
              <w:t>E</w:t>
            </w:r>
            <w:r>
              <w:rPr>
                <w:sz w:val="20"/>
              </w:rPr>
              <w:t>1</w:t>
            </w:r>
            <w:r w:rsidR="001C01B7">
              <w:rPr>
                <w:sz w:val="20"/>
              </w:rPr>
              <w:t xml:space="preserve">, </w:t>
            </w:r>
            <w:r w:rsidR="006E6CAF">
              <w:rPr>
                <w:sz w:val="20"/>
              </w:rPr>
              <w:t>E</w:t>
            </w:r>
            <w:r w:rsidR="001C01B7">
              <w:rPr>
                <w:sz w:val="20"/>
              </w:rPr>
              <w:t xml:space="preserve">3, </w:t>
            </w:r>
            <w:r w:rsidR="006E6CAF">
              <w:rPr>
                <w:sz w:val="20"/>
              </w:rPr>
              <w:t>E</w:t>
            </w:r>
            <w:r w:rsidR="001C01B7">
              <w:rPr>
                <w:sz w:val="20"/>
              </w:rPr>
              <w:t xml:space="preserve">4, </w:t>
            </w:r>
            <w:r w:rsidR="006E6CAF">
              <w:rPr>
                <w:sz w:val="20"/>
              </w:rPr>
              <w:t>E</w:t>
            </w:r>
            <w:r>
              <w:rPr>
                <w:sz w:val="20"/>
              </w:rPr>
              <w:t>5)</w:t>
            </w:r>
          </w:p>
        </w:tc>
      </w:tr>
      <w:tr w:rsidR="00A34FAB" w:rsidTr="00FB6A47">
        <w:trPr>
          <w:gridBefore w:val="1"/>
          <w:wBefore w:w="360" w:type="dxa"/>
        </w:trPr>
        <w:tc>
          <w:tcPr>
            <w:tcW w:w="1440" w:type="dxa"/>
            <w:shd w:val="clear" w:color="auto" w:fill="auto"/>
          </w:tcPr>
          <w:p w:rsidR="00A34FAB" w:rsidRPr="00FB6A47" w:rsidRDefault="00A34FAB">
            <w:pPr>
              <w:rPr>
                <w:sz w:val="20"/>
              </w:rPr>
            </w:pPr>
          </w:p>
        </w:tc>
        <w:tc>
          <w:tcPr>
            <w:tcW w:w="270" w:type="dxa"/>
          </w:tcPr>
          <w:p w:rsidR="00A34FAB" w:rsidRDefault="00A34FAB">
            <w:pPr>
              <w:rPr>
                <w:sz w:val="20"/>
              </w:rPr>
            </w:pPr>
          </w:p>
        </w:tc>
        <w:tc>
          <w:tcPr>
            <w:tcW w:w="5218" w:type="dxa"/>
          </w:tcPr>
          <w:p w:rsidR="00A34FAB" w:rsidRDefault="00A34FAB">
            <w:pPr>
              <w:rPr>
                <w:sz w:val="20"/>
              </w:rPr>
            </w:pPr>
          </w:p>
        </w:tc>
      </w:tr>
      <w:tr w:rsidR="00A34FAB" w:rsidTr="00FB6A47">
        <w:trPr>
          <w:gridBefore w:val="1"/>
          <w:wBefore w:w="360" w:type="dxa"/>
        </w:trPr>
        <w:tc>
          <w:tcPr>
            <w:tcW w:w="1440" w:type="dxa"/>
            <w:shd w:val="clear" w:color="auto" w:fill="auto"/>
          </w:tcPr>
          <w:p w:rsidR="00A34FAB" w:rsidRPr="00FB6A47" w:rsidRDefault="00A34FAB">
            <w:pPr>
              <w:rPr>
                <w:sz w:val="20"/>
              </w:rPr>
            </w:pPr>
            <w:r w:rsidRPr="00FB6A47">
              <w:rPr>
                <w:sz w:val="20"/>
              </w:rPr>
              <w:t xml:space="preserve">Attachment </w:t>
            </w:r>
            <w:r w:rsidR="006E6CAF" w:rsidRPr="00FB6A47">
              <w:rPr>
                <w:sz w:val="20"/>
              </w:rPr>
              <w:t>A</w:t>
            </w:r>
          </w:p>
        </w:tc>
        <w:tc>
          <w:tcPr>
            <w:tcW w:w="270" w:type="dxa"/>
          </w:tcPr>
          <w:p w:rsidR="00A34FAB" w:rsidRDefault="00A34FAB">
            <w:pPr>
              <w:pStyle w:val="TOAHeading"/>
              <w:tabs>
                <w:tab w:val="clear" w:pos="9360"/>
              </w:tabs>
              <w:suppressAutoHyphens w:val="0"/>
              <w:rPr>
                <w:rFonts w:ascii="Arial" w:hAnsi="Arial"/>
              </w:rPr>
            </w:pPr>
            <w:r>
              <w:rPr>
                <w:rFonts w:ascii="Arial" w:hAnsi="Arial"/>
              </w:rPr>
              <w:t>-</w:t>
            </w:r>
          </w:p>
        </w:tc>
        <w:tc>
          <w:tcPr>
            <w:tcW w:w="5218" w:type="dxa"/>
          </w:tcPr>
          <w:p w:rsidR="00A34FAB" w:rsidRDefault="00A34FAB">
            <w:pPr>
              <w:rPr>
                <w:sz w:val="20"/>
              </w:rPr>
            </w:pPr>
            <w:r>
              <w:rPr>
                <w:sz w:val="20"/>
              </w:rPr>
              <w:t>Public Release (</w:t>
            </w:r>
            <w:r w:rsidR="006E6CAF">
              <w:rPr>
                <w:sz w:val="20"/>
              </w:rPr>
              <w:t>A</w:t>
            </w:r>
            <w:r>
              <w:rPr>
                <w:sz w:val="20"/>
              </w:rPr>
              <w:t>1)</w:t>
            </w:r>
          </w:p>
        </w:tc>
      </w:tr>
      <w:tr w:rsidR="00A34FAB" w:rsidTr="00FB6A47">
        <w:trPr>
          <w:gridBefore w:val="1"/>
          <w:wBefore w:w="360" w:type="dxa"/>
        </w:trPr>
        <w:tc>
          <w:tcPr>
            <w:tcW w:w="1440" w:type="dxa"/>
            <w:shd w:val="clear" w:color="auto" w:fill="auto"/>
          </w:tcPr>
          <w:p w:rsidR="00A34FAB" w:rsidRPr="00FB6A47" w:rsidRDefault="00A34FAB">
            <w:pPr>
              <w:rPr>
                <w:sz w:val="20"/>
              </w:rPr>
            </w:pPr>
          </w:p>
        </w:tc>
        <w:tc>
          <w:tcPr>
            <w:tcW w:w="270" w:type="dxa"/>
          </w:tcPr>
          <w:p w:rsidR="00A34FAB" w:rsidRDefault="00A34FAB">
            <w:pPr>
              <w:rPr>
                <w:sz w:val="20"/>
              </w:rPr>
            </w:pPr>
          </w:p>
        </w:tc>
        <w:tc>
          <w:tcPr>
            <w:tcW w:w="5218" w:type="dxa"/>
          </w:tcPr>
          <w:p w:rsidR="00A34FAB" w:rsidRDefault="00A34FAB">
            <w:pPr>
              <w:rPr>
                <w:sz w:val="20"/>
              </w:rPr>
            </w:pPr>
          </w:p>
        </w:tc>
      </w:tr>
      <w:tr w:rsidR="00A34FAB" w:rsidTr="00FB6A47">
        <w:trPr>
          <w:gridBefore w:val="1"/>
          <w:wBefore w:w="360" w:type="dxa"/>
        </w:trPr>
        <w:tc>
          <w:tcPr>
            <w:tcW w:w="1440" w:type="dxa"/>
            <w:shd w:val="clear" w:color="auto" w:fill="auto"/>
          </w:tcPr>
          <w:p w:rsidR="00A34FAB" w:rsidRPr="00FB6A47" w:rsidRDefault="00A34FAB">
            <w:pPr>
              <w:rPr>
                <w:sz w:val="20"/>
              </w:rPr>
            </w:pPr>
            <w:r w:rsidRPr="00FB6A47">
              <w:rPr>
                <w:sz w:val="20"/>
              </w:rPr>
              <w:t xml:space="preserve">Attachment </w:t>
            </w:r>
            <w:r w:rsidR="006E6CAF" w:rsidRPr="00FB6A47">
              <w:rPr>
                <w:sz w:val="20"/>
              </w:rPr>
              <w:t>F</w:t>
            </w:r>
          </w:p>
        </w:tc>
        <w:tc>
          <w:tcPr>
            <w:tcW w:w="270" w:type="dxa"/>
          </w:tcPr>
          <w:p w:rsidR="00A34FAB" w:rsidRDefault="00A34FAB">
            <w:pPr>
              <w:rPr>
                <w:sz w:val="20"/>
              </w:rPr>
            </w:pPr>
            <w:r>
              <w:rPr>
                <w:sz w:val="20"/>
              </w:rPr>
              <w:t>-</w:t>
            </w:r>
          </w:p>
        </w:tc>
        <w:tc>
          <w:tcPr>
            <w:tcW w:w="5218" w:type="dxa"/>
          </w:tcPr>
          <w:p w:rsidR="00A34FAB" w:rsidRDefault="00A34FAB">
            <w:pPr>
              <w:rPr>
                <w:sz w:val="20"/>
              </w:rPr>
            </w:pPr>
            <w:r>
              <w:rPr>
                <w:sz w:val="20"/>
              </w:rPr>
              <w:t>Notification of Eligibility</w:t>
            </w:r>
          </w:p>
        </w:tc>
      </w:tr>
      <w:tr w:rsidR="00A34FAB" w:rsidTr="00FB6A47">
        <w:trPr>
          <w:gridBefore w:val="1"/>
          <w:wBefore w:w="360" w:type="dxa"/>
        </w:trPr>
        <w:tc>
          <w:tcPr>
            <w:tcW w:w="1440" w:type="dxa"/>
            <w:shd w:val="clear" w:color="auto" w:fill="auto"/>
          </w:tcPr>
          <w:p w:rsidR="00A34FAB" w:rsidRPr="00FB6A47" w:rsidRDefault="00A34FAB">
            <w:pPr>
              <w:rPr>
                <w:sz w:val="20"/>
              </w:rPr>
            </w:pPr>
          </w:p>
        </w:tc>
        <w:tc>
          <w:tcPr>
            <w:tcW w:w="270" w:type="dxa"/>
          </w:tcPr>
          <w:p w:rsidR="00A34FAB" w:rsidRDefault="00A34FAB">
            <w:pPr>
              <w:rPr>
                <w:sz w:val="20"/>
              </w:rPr>
            </w:pPr>
          </w:p>
        </w:tc>
        <w:tc>
          <w:tcPr>
            <w:tcW w:w="5218" w:type="dxa"/>
          </w:tcPr>
          <w:p w:rsidR="00A34FAB" w:rsidRDefault="00A34FAB">
            <w:pPr>
              <w:rPr>
                <w:sz w:val="20"/>
              </w:rPr>
            </w:pPr>
          </w:p>
        </w:tc>
      </w:tr>
      <w:tr w:rsidR="00A34FAB" w:rsidTr="00FB6A47">
        <w:trPr>
          <w:cantSplit/>
        </w:trPr>
        <w:tc>
          <w:tcPr>
            <w:tcW w:w="7288" w:type="dxa"/>
            <w:gridSpan w:val="4"/>
            <w:shd w:val="clear" w:color="auto" w:fill="auto"/>
          </w:tcPr>
          <w:p w:rsidR="00A34FAB" w:rsidRPr="00FB6A47" w:rsidRDefault="00A34FAB">
            <w:pPr>
              <w:pStyle w:val="Heading5"/>
            </w:pPr>
            <w:r w:rsidRPr="00FB6A47">
              <w:t>Non-Pricing Programs</w:t>
            </w:r>
            <w:r w:rsidR="00CA61B8" w:rsidRPr="00FB6A47">
              <w:t xml:space="preserve"> </w:t>
            </w:r>
          </w:p>
        </w:tc>
      </w:tr>
      <w:tr w:rsidR="00A34FAB" w:rsidTr="00FB6A47">
        <w:trPr>
          <w:gridBefore w:val="1"/>
          <w:wBefore w:w="360" w:type="dxa"/>
        </w:trPr>
        <w:tc>
          <w:tcPr>
            <w:tcW w:w="1440" w:type="dxa"/>
            <w:shd w:val="clear" w:color="auto" w:fill="auto"/>
          </w:tcPr>
          <w:p w:rsidR="00A34FAB" w:rsidRPr="00FB6A47" w:rsidRDefault="00A34FAB">
            <w:pPr>
              <w:rPr>
                <w:sz w:val="20"/>
              </w:rPr>
            </w:pPr>
          </w:p>
        </w:tc>
        <w:tc>
          <w:tcPr>
            <w:tcW w:w="270" w:type="dxa"/>
          </w:tcPr>
          <w:p w:rsidR="00A34FAB" w:rsidRDefault="00A34FAB">
            <w:pPr>
              <w:rPr>
                <w:sz w:val="20"/>
              </w:rPr>
            </w:pPr>
          </w:p>
        </w:tc>
        <w:tc>
          <w:tcPr>
            <w:tcW w:w="5218" w:type="dxa"/>
          </w:tcPr>
          <w:p w:rsidR="00A34FAB" w:rsidRDefault="00A34FAB">
            <w:pPr>
              <w:rPr>
                <w:sz w:val="20"/>
              </w:rPr>
            </w:pPr>
          </w:p>
        </w:tc>
      </w:tr>
      <w:tr w:rsidR="00A34FAB" w:rsidTr="00FB6A47">
        <w:trPr>
          <w:gridBefore w:val="1"/>
          <w:wBefore w:w="360" w:type="dxa"/>
        </w:trPr>
        <w:tc>
          <w:tcPr>
            <w:tcW w:w="1440" w:type="dxa"/>
            <w:shd w:val="clear" w:color="auto" w:fill="auto"/>
          </w:tcPr>
          <w:p w:rsidR="00A34FAB" w:rsidRPr="00FB6A47" w:rsidRDefault="00A34FAB">
            <w:pPr>
              <w:rPr>
                <w:sz w:val="20"/>
              </w:rPr>
            </w:pPr>
            <w:r w:rsidRPr="00FB6A47">
              <w:rPr>
                <w:sz w:val="20"/>
              </w:rPr>
              <w:t xml:space="preserve">Attachment </w:t>
            </w:r>
            <w:r w:rsidR="006E6CAF" w:rsidRPr="00FB6A47">
              <w:rPr>
                <w:sz w:val="20"/>
              </w:rPr>
              <w:t>D</w:t>
            </w:r>
          </w:p>
        </w:tc>
        <w:tc>
          <w:tcPr>
            <w:tcW w:w="270" w:type="dxa"/>
          </w:tcPr>
          <w:p w:rsidR="00A34FAB" w:rsidRDefault="00A34FAB">
            <w:pPr>
              <w:rPr>
                <w:sz w:val="20"/>
              </w:rPr>
            </w:pPr>
            <w:r>
              <w:rPr>
                <w:sz w:val="20"/>
              </w:rPr>
              <w:t>-</w:t>
            </w:r>
          </w:p>
        </w:tc>
        <w:tc>
          <w:tcPr>
            <w:tcW w:w="5218" w:type="dxa"/>
          </w:tcPr>
          <w:p w:rsidR="00A34FAB" w:rsidRDefault="00A34FAB">
            <w:pPr>
              <w:rPr>
                <w:sz w:val="20"/>
              </w:rPr>
            </w:pPr>
            <w:r>
              <w:rPr>
                <w:sz w:val="20"/>
              </w:rPr>
              <w:t>Income Eligibility Guidelines</w:t>
            </w:r>
          </w:p>
        </w:tc>
      </w:tr>
      <w:tr w:rsidR="00A34FAB" w:rsidTr="00FB6A47">
        <w:trPr>
          <w:gridBefore w:val="1"/>
          <w:wBefore w:w="360" w:type="dxa"/>
        </w:trPr>
        <w:tc>
          <w:tcPr>
            <w:tcW w:w="1440" w:type="dxa"/>
            <w:shd w:val="clear" w:color="auto" w:fill="auto"/>
          </w:tcPr>
          <w:p w:rsidR="00A34FAB" w:rsidRPr="00FB6A47" w:rsidRDefault="00A34FAB">
            <w:pPr>
              <w:rPr>
                <w:sz w:val="20"/>
              </w:rPr>
            </w:pPr>
          </w:p>
        </w:tc>
        <w:tc>
          <w:tcPr>
            <w:tcW w:w="270" w:type="dxa"/>
          </w:tcPr>
          <w:p w:rsidR="00A34FAB" w:rsidRDefault="00A34FAB">
            <w:pPr>
              <w:rPr>
                <w:sz w:val="20"/>
              </w:rPr>
            </w:pPr>
          </w:p>
        </w:tc>
        <w:tc>
          <w:tcPr>
            <w:tcW w:w="5218" w:type="dxa"/>
          </w:tcPr>
          <w:p w:rsidR="00A34FAB" w:rsidRDefault="00A34FAB">
            <w:pPr>
              <w:rPr>
                <w:sz w:val="20"/>
              </w:rPr>
            </w:pPr>
          </w:p>
        </w:tc>
      </w:tr>
      <w:tr w:rsidR="00A34FAB" w:rsidTr="00137730">
        <w:trPr>
          <w:gridBefore w:val="1"/>
          <w:wBefore w:w="360" w:type="dxa"/>
        </w:trPr>
        <w:tc>
          <w:tcPr>
            <w:tcW w:w="1440" w:type="dxa"/>
            <w:shd w:val="clear" w:color="auto" w:fill="auto"/>
          </w:tcPr>
          <w:p w:rsidR="00A34FAB" w:rsidRPr="00FB6A47" w:rsidRDefault="00A34FAB">
            <w:pPr>
              <w:rPr>
                <w:sz w:val="20"/>
              </w:rPr>
            </w:pPr>
            <w:r w:rsidRPr="00FB6A47">
              <w:rPr>
                <w:sz w:val="20"/>
              </w:rPr>
              <w:t xml:space="preserve">Attachment </w:t>
            </w:r>
            <w:r w:rsidR="006E6CAF" w:rsidRPr="00FB6A47">
              <w:rPr>
                <w:sz w:val="20"/>
              </w:rPr>
              <w:t>E</w:t>
            </w:r>
          </w:p>
        </w:tc>
        <w:tc>
          <w:tcPr>
            <w:tcW w:w="270" w:type="dxa"/>
          </w:tcPr>
          <w:p w:rsidR="00A34FAB" w:rsidRDefault="00A34FAB">
            <w:pPr>
              <w:rPr>
                <w:sz w:val="20"/>
              </w:rPr>
            </w:pPr>
            <w:r>
              <w:rPr>
                <w:sz w:val="20"/>
              </w:rPr>
              <w:t>-</w:t>
            </w:r>
          </w:p>
        </w:tc>
        <w:tc>
          <w:tcPr>
            <w:tcW w:w="5218" w:type="dxa"/>
          </w:tcPr>
          <w:p w:rsidR="00A34FAB" w:rsidRDefault="00A34FAB">
            <w:pPr>
              <w:rPr>
                <w:sz w:val="20"/>
              </w:rPr>
            </w:pPr>
            <w:r>
              <w:rPr>
                <w:sz w:val="20"/>
              </w:rPr>
              <w:t>Parent Letter and Eligibility Application (</w:t>
            </w:r>
            <w:r w:rsidR="006E6CAF">
              <w:rPr>
                <w:sz w:val="20"/>
              </w:rPr>
              <w:t>E</w:t>
            </w:r>
            <w:r w:rsidR="001C01B7">
              <w:rPr>
                <w:sz w:val="20"/>
              </w:rPr>
              <w:t xml:space="preserve">2, </w:t>
            </w:r>
            <w:r w:rsidR="006E6CAF">
              <w:rPr>
                <w:sz w:val="20"/>
              </w:rPr>
              <w:t>E</w:t>
            </w:r>
            <w:r w:rsidR="001C01B7">
              <w:rPr>
                <w:sz w:val="20"/>
              </w:rPr>
              <w:t xml:space="preserve">3, </w:t>
            </w:r>
            <w:r w:rsidR="006E6CAF">
              <w:rPr>
                <w:sz w:val="20"/>
              </w:rPr>
              <w:t>E</w:t>
            </w:r>
            <w:r w:rsidR="001C01B7">
              <w:rPr>
                <w:sz w:val="20"/>
              </w:rPr>
              <w:t xml:space="preserve">4, </w:t>
            </w:r>
            <w:r w:rsidR="006E6CAF">
              <w:rPr>
                <w:sz w:val="20"/>
              </w:rPr>
              <w:t>E</w:t>
            </w:r>
            <w:r>
              <w:rPr>
                <w:sz w:val="20"/>
              </w:rPr>
              <w:t>5)</w:t>
            </w:r>
          </w:p>
        </w:tc>
      </w:tr>
      <w:tr w:rsidR="00A34FAB" w:rsidTr="00FB6A47">
        <w:trPr>
          <w:gridBefore w:val="1"/>
          <w:wBefore w:w="360" w:type="dxa"/>
        </w:trPr>
        <w:tc>
          <w:tcPr>
            <w:tcW w:w="1440" w:type="dxa"/>
            <w:shd w:val="clear" w:color="auto" w:fill="auto"/>
          </w:tcPr>
          <w:p w:rsidR="00A34FAB" w:rsidRPr="00FB6A47" w:rsidRDefault="00A34FAB">
            <w:pPr>
              <w:rPr>
                <w:sz w:val="20"/>
              </w:rPr>
            </w:pPr>
          </w:p>
        </w:tc>
        <w:tc>
          <w:tcPr>
            <w:tcW w:w="270" w:type="dxa"/>
          </w:tcPr>
          <w:p w:rsidR="00A34FAB" w:rsidRPr="00434BF2" w:rsidRDefault="00A34FAB">
            <w:pPr>
              <w:rPr>
                <w:sz w:val="20"/>
              </w:rPr>
            </w:pPr>
          </w:p>
        </w:tc>
        <w:tc>
          <w:tcPr>
            <w:tcW w:w="5218" w:type="dxa"/>
          </w:tcPr>
          <w:p w:rsidR="00A34FAB" w:rsidRPr="00434BF2" w:rsidRDefault="00CA61B8">
            <w:pPr>
              <w:rPr>
                <w:sz w:val="20"/>
              </w:rPr>
            </w:pPr>
            <w:r w:rsidRPr="00434BF2">
              <w:rPr>
                <w:sz w:val="20"/>
              </w:rPr>
              <w:t>(Not applicable for open sites)</w:t>
            </w:r>
          </w:p>
        </w:tc>
      </w:tr>
      <w:tr w:rsidR="00434BF2" w:rsidTr="00FB6A47">
        <w:trPr>
          <w:gridBefore w:val="1"/>
          <w:wBefore w:w="360" w:type="dxa"/>
        </w:trPr>
        <w:tc>
          <w:tcPr>
            <w:tcW w:w="1440" w:type="dxa"/>
            <w:shd w:val="clear" w:color="auto" w:fill="auto"/>
          </w:tcPr>
          <w:p w:rsidR="00434BF2" w:rsidRPr="00FB6A47" w:rsidRDefault="00434BF2">
            <w:pPr>
              <w:rPr>
                <w:sz w:val="20"/>
              </w:rPr>
            </w:pPr>
          </w:p>
        </w:tc>
        <w:tc>
          <w:tcPr>
            <w:tcW w:w="270" w:type="dxa"/>
          </w:tcPr>
          <w:p w:rsidR="00434BF2" w:rsidRDefault="00434BF2">
            <w:pPr>
              <w:rPr>
                <w:sz w:val="20"/>
              </w:rPr>
            </w:pPr>
          </w:p>
        </w:tc>
        <w:tc>
          <w:tcPr>
            <w:tcW w:w="5218" w:type="dxa"/>
          </w:tcPr>
          <w:p w:rsidR="00434BF2" w:rsidRPr="00CA61B8" w:rsidRDefault="00434BF2">
            <w:pPr>
              <w:rPr>
                <w:sz w:val="20"/>
                <w:highlight w:val="yellow"/>
              </w:rPr>
            </w:pPr>
          </w:p>
        </w:tc>
      </w:tr>
      <w:tr w:rsidR="00A34FAB" w:rsidTr="00FB6A47">
        <w:trPr>
          <w:gridBefore w:val="1"/>
          <w:wBefore w:w="360" w:type="dxa"/>
        </w:trPr>
        <w:tc>
          <w:tcPr>
            <w:tcW w:w="1440" w:type="dxa"/>
            <w:shd w:val="clear" w:color="auto" w:fill="auto"/>
          </w:tcPr>
          <w:p w:rsidR="00A34FAB" w:rsidRPr="00FB6A47" w:rsidRDefault="00A34FAB">
            <w:pPr>
              <w:rPr>
                <w:sz w:val="20"/>
              </w:rPr>
            </w:pPr>
            <w:r w:rsidRPr="00FB6A47">
              <w:rPr>
                <w:sz w:val="20"/>
              </w:rPr>
              <w:t xml:space="preserve">Attachment </w:t>
            </w:r>
            <w:r w:rsidR="006E6CAF" w:rsidRPr="00FB6A47">
              <w:rPr>
                <w:sz w:val="20"/>
              </w:rPr>
              <w:t>A</w:t>
            </w:r>
          </w:p>
        </w:tc>
        <w:tc>
          <w:tcPr>
            <w:tcW w:w="270" w:type="dxa"/>
          </w:tcPr>
          <w:p w:rsidR="00A34FAB" w:rsidRDefault="00A34FAB">
            <w:pPr>
              <w:pStyle w:val="TOAHeading"/>
              <w:tabs>
                <w:tab w:val="clear" w:pos="9360"/>
              </w:tabs>
              <w:suppressAutoHyphens w:val="0"/>
              <w:rPr>
                <w:rFonts w:ascii="Arial" w:hAnsi="Arial"/>
              </w:rPr>
            </w:pPr>
            <w:r>
              <w:rPr>
                <w:rFonts w:ascii="Arial" w:hAnsi="Arial"/>
              </w:rPr>
              <w:t>-</w:t>
            </w:r>
          </w:p>
        </w:tc>
        <w:tc>
          <w:tcPr>
            <w:tcW w:w="5218" w:type="dxa"/>
          </w:tcPr>
          <w:p w:rsidR="00A34FAB" w:rsidRDefault="00A34FAB" w:rsidP="00FB05FD">
            <w:pPr>
              <w:rPr>
                <w:sz w:val="20"/>
              </w:rPr>
            </w:pPr>
            <w:r>
              <w:rPr>
                <w:sz w:val="20"/>
              </w:rPr>
              <w:t>Public Release</w:t>
            </w:r>
            <w:r w:rsidR="001C01B7">
              <w:rPr>
                <w:sz w:val="20"/>
              </w:rPr>
              <w:t xml:space="preserve"> – Choose the one that applies</w:t>
            </w:r>
            <w:r>
              <w:rPr>
                <w:sz w:val="20"/>
              </w:rPr>
              <w:t xml:space="preserve"> (</w:t>
            </w:r>
            <w:r w:rsidR="006E6CAF">
              <w:rPr>
                <w:sz w:val="20"/>
              </w:rPr>
              <w:t>A</w:t>
            </w:r>
            <w:r w:rsidR="001C01B7">
              <w:rPr>
                <w:sz w:val="20"/>
              </w:rPr>
              <w:t xml:space="preserve">2, A3 </w:t>
            </w:r>
            <w:r w:rsidR="001C01B7" w:rsidRPr="001C01B7">
              <w:rPr>
                <w:b/>
                <w:sz w:val="20"/>
              </w:rPr>
              <w:t>or</w:t>
            </w:r>
            <w:r w:rsidR="001C01B7">
              <w:rPr>
                <w:sz w:val="20"/>
              </w:rPr>
              <w:t xml:space="preserve"> </w:t>
            </w:r>
            <w:r w:rsidR="006E6CAF">
              <w:rPr>
                <w:sz w:val="20"/>
              </w:rPr>
              <w:t>A</w:t>
            </w:r>
            <w:r w:rsidR="00FB05FD">
              <w:rPr>
                <w:sz w:val="20"/>
              </w:rPr>
              <w:t>4</w:t>
            </w:r>
            <w:r>
              <w:rPr>
                <w:sz w:val="20"/>
              </w:rPr>
              <w:t>)</w:t>
            </w:r>
          </w:p>
        </w:tc>
      </w:tr>
      <w:tr w:rsidR="00A34FAB" w:rsidTr="00FB6A47">
        <w:trPr>
          <w:gridBefore w:val="1"/>
          <w:wBefore w:w="360" w:type="dxa"/>
        </w:trPr>
        <w:tc>
          <w:tcPr>
            <w:tcW w:w="1440" w:type="dxa"/>
            <w:shd w:val="clear" w:color="auto" w:fill="auto"/>
          </w:tcPr>
          <w:p w:rsidR="00A34FAB" w:rsidRPr="00FB6A47" w:rsidRDefault="00A34FAB">
            <w:pPr>
              <w:rPr>
                <w:sz w:val="20"/>
              </w:rPr>
            </w:pPr>
          </w:p>
        </w:tc>
        <w:tc>
          <w:tcPr>
            <w:tcW w:w="270" w:type="dxa"/>
          </w:tcPr>
          <w:p w:rsidR="00A34FAB" w:rsidRDefault="00A34FAB">
            <w:pPr>
              <w:rPr>
                <w:sz w:val="20"/>
              </w:rPr>
            </w:pPr>
          </w:p>
        </w:tc>
        <w:tc>
          <w:tcPr>
            <w:tcW w:w="5218" w:type="dxa"/>
          </w:tcPr>
          <w:p w:rsidR="00A34FAB" w:rsidRDefault="00A34FAB">
            <w:pPr>
              <w:rPr>
                <w:sz w:val="20"/>
              </w:rPr>
            </w:pPr>
          </w:p>
        </w:tc>
      </w:tr>
    </w:tbl>
    <w:p w:rsidR="00A030D7" w:rsidRDefault="00A030D7">
      <w:pPr>
        <w:sectPr w:rsidR="00A030D7" w:rsidSect="008A25A2">
          <w:footerReference w:type="even" r:id="rId8"/>
          <w:footerReference w:type="default" r:id="rId9"/>
          <w:type w:val="oddPage"/>
          <w:pgSz w:w="12240" w:h="15840" w:code="1"/>
          <w:pgMar w:top="720" w:right="576" w:bottom="576" w:left="1440" w:header="720" w:footer="720" w:gutter="0"/>
          <w:pgNumType w:start="13"/>
          <w:cols w:space="720"/>
        </w:sectPr>
      </w:pPr>
    </w:p>
    <w:p w:rsidR="00A34FAB" w:rsidRDefault="00A34FAB">
      <w:pPr>
        <w:pStyle w:val="BodyText3"/>
      </w:pPr>
      <w:r>
        <w:lastRenderedPageBreak/>
        <w:t xml:space="preserve">Each local agency participating in the Summer Food Service Program (SFSP) must submit a policy statement in regard to free meal eligibility.  This policy statement is permanent and must be maintained in the agency files.  If your local agency changes from a pricing to </w:t>
      </w:r>
      <w:r w:rsidR="00727ED6">
        <w:t>non-pricing</w:t>
      </w:r>
      <w:r>
        <w:t xml:space="preserve"> or vice versa, a new policy statement must be submitted.  If there are significant changes made in the policy due to changes in the regulations, a new policy statement will be completed.</w:t>
      </w:r>
    </w:p>
    <w:p w:rsidR="00A34FAB" w:rsidRDefault="00A34FAB">
      <w:pPr>
        <w:suppressAutoHyphens/>
        <w:rPr>
          <w:sz w:val="18"/>
        </w:rPr>
      </w:pPr>
    </w:p>
    <w:p w:rsidR="00A34FAB" w:rsidRDefault="00A34FAB">
      <w:pPr>
        <w:suppressAutoHyphens/>
        <w:rPr>
          <w:sz w:val="18"/>
        </w:rPr>
      </w:pPr>
      <w:r>
        <w:rPr>
          <w:sz w:val="18"/>
        </w:rPr>
        <w:t>The local agency assures the Child and Adult Nutrition Services (CANS) office it will uniformly implement the following policies in all SFSP sites under its jurisdiction.  In fulfilling its responsibilities, the local agency:</w:t>
      </w:r>
    </w:p>
    <w:p w:rsidR="00A34FAB" w:rsidRDefault="00A34FAB">
      <w:pPr>
        <w:suppressAutoHyphens/>
        <w:rPr>
          <w:b/>
          <w:sz w:val="18"/>
        </w:rPr>
      </w:pPr>
    </w:p>
    <w:p w:rsidR="00A34FAB" w:rsidRPr="00F41142" w:rsidRDefault="00A34FAB">
      <w:pPr>
        <w:pStyle w:val="BodyTextIndent"/>
        <w:numPr>
          <w:ilvl w:val="0"/>
          <w:numId w:val="12"/>
        </w:numPr>
        <w:rPr>
          <w:sz w:val="18"/>
          <w:szCs w:val="18"/>
        </w:rPr>
      </w:pPr>
      <w:r w:rsidRPr="00F41142">
        <w:rPr>
          <w:sz w:val="18"/>
          <w:szCs w:val="18"/>
        </w:rPr>
        <w:t>Assures Child and Adult Nutrition Services that all children at the facilities described on the application forms are served the same meals regardless of race, color, national origin, gender, age, or disability and there is no discrimination in the course of the meal service.</w:t>
      </w:r>
    </w:p>
    <w:p w:rsidR="00A34FAB" w:rsidRPr="00F41142" w:rsidRDefault="00A34FAB">
      <w:pPr>
        <w:tabs>
          <w:tab w:val="left" w:pos="-720"/>
        </w:tabs>
        <w:suppressAutoHyphens/>
        <w:rPr>
          <w:sz w:val="18"/>
          <w:szCs w:val="18"/>
        </w:rPr>
      </w:pPr>
    </w:p>
    <w:p w:rsidR="00A34FAB" w:rsidRPr="00F41142" w:rsidRDefault="00A34FAB">
      <w:pPr>
        <w:numPr>
          <w:ilvl w:val="0"/>
          <w:numId w:val="12"/>
        </w:numPr>
        <w:tabs>
          <w:tab w:val="left" w:pos="-720"/>
          <w:tab w:val="left" w:pos="0"/>
        </w:tabs>
        <w:suppressAutoHyphens/>
        <w:rPr>
          <w:sz w:val="18"/>
          <w:szCs w:val="18"/>
        </w:rPr>
      </w:pPr>
      <w:r w:rsidRPr="00F41142">
        <w:rPr>
          <w:sz w:val="18"/>
          <w:szCs w:val="18"/>
        </w:rPr>
        <w:t xml:space="preserve">Agrees to annually submit to the informational media a public release containing the information specified in Section 226.15(e) of the Child and Adult Care Food Program regulations and included in Attachment </w:t>
      </w:r>
      <w:r w:rsidR="00291583">
        <w:rPr>
          <w:sz w:val="18"/>
          <w:szCs w:val="18"/>
        </w:rPr>
        <w:t>A</w:t>
      </w:r>
      <w:r w:rsidRPr="00F41142">
        <w:rPr>
          <w:sz w:val="18"/>
          <w:szCs w:val="18"/>
        </w:rPr>
        <w:t xml:space="preserve"> of this policy statement.</w:t>
      </w:r>
    </w:p>
    <w:p w:rsidR="00A34FAB" w:rsidRPr="00F41142" w:rsidRDefault="00A34FAB">
      <w:pPr>
        <w:tabs>
          <w:tab w:val="left" w:pos="-720"/>
        </w:tabs>
        <w:suppressAutoHyphens/>
        <w:rPr>
          <w:sz w:val="18"/>
          <w:szCs w:val="18"/>
        </w:rPr>
      </w:pPr>
    </w:p>
    <w:p w:rsidR="00A34FAB" w:rsidRPr="00843279" w:rsidRDefault="00A34FAB">
      <w:pPr>
        <w:numPr>
          <w:ilvl w:val="0"/>
          <w:numId w:val="12"/>
        </w:numPr>
        <w:tabs>
          <w:tab w:val="left" w:pos="-720"/>
          <w:tab w:val="left" w:pos="0"/>
        </w:tabs>
        <w:suppressAutoHyphens/>
        <w:rPr>
          <w:b/>
          <w:i/>
          <w:sz w:val="18"/>
          <w:szCs w:val="18"/>
        </w:rPr>
      </w:pPr>
      <w:r w:rsidRPr="00F41142">
        <w:rPr>
          <w:sz w:val="18"/>
          <w:szCs w:val="18"/>
        </w:rPr>
        <w:t xml:space="preserve">Agrees to annually collect data by racial/ethnic category on potential eligible beneficiaries for the area served by our local agency and actual beneficiary data.  The local agency understands that the collection of this information is strictly for statistical reporting requirements and has no effect on the determination of a child's eligibility to receive benefits under the program.  </w:t>
      </w:r>
      <w:r w:rsidRPr="00843279">
        <w:rPr>
          <w:b/>
          <w:i/>
          <w:sz w:val="18"/>
          <w:szCs w:val="18"/>
        </w:rPr>
        <w:t xml:space="preserve">Attachment </w:t>
      </w:r>
      <w:r w:rsidR="00CE28D9" w:rsidRPr="00843279">
        <w:rPr>
          <w:b/>
          <w:i/>
          <w:sz w:val="18"/>
          <w:szCs w:val="18"/>
        </w:rPr>
        <w:t>21 in the back of the SFSP 201</w:t>
      </w:r>
      <w:r w:rsidR="001C4157">
        <w:rPr>
          <w:b/>
          <w:i/>
          <w:sz w:val="18"/>
          <w:szCs w:val="18"/>
        </w:rPr>
        <w:t xml:space="preserve">5 </w:t>
      </w:r>
      <w:r w:rsidR="00CE28D9" w:rsidRPr="00843279">
        <w:rPr>
          <w:b/>
          <w:i/>
          <w:sz w:val="18"/>
          <w:szCs w:val="18"/>
        </w:rPr>
        <w:t>Administrative Guidance for Sponsors Handbook</w:t>
      </w:r>
      <w:r w:rsidRPr="00843279">
        <w:rPr>
          <w:b/>
          <w:i/>
          <w:sz w:val="18"/>
          <w:szCs w:val="18"/>
        </w:rPr>
        <w:t xml:space="preserve"> must be completed and maintained on file.</w:t>
      </w:r>
    </w:p>
    <w:p w:rsidR="00A34FAB" w:rsidRPr="00F41142" w:rsidRDefault="00A34FAB">
      <w:pPr>
        <w:tabs>
          <w:tab w:val="left" w:pos="-720"/>
        </w:tabs>
        <w:suppressAutoHyphens/>
        <w:rPr>
          <w:sz w:val="18"/>
          <w:szCs w:val="18"/>
        </w:rPr>
      </w:pPr>
    </w:p>
    <w:p w:rsidR="00A34FAB" w:rsidRPr="00F41142" w:rsidRDefault="00A34FAB">
      <w:pPr>
        <w:numPr>
          <w:ilvl w:val="0"/>
          <w:numId w:val="12"/>
        </w:numPr>
        <w:tabs>
          <w:tab w:val="left" w:pos="-720"/>
          <w:tab w:val="left" w:pos="0"/>
        </w:tabs>
        <w:suppressAutoHyphens/>
        <w:rPr>
          <w:sz w:val="18"/>
          <w:szCs w:val="18"/>
        </w:rPr>
      </w:pPr>
      <w:r w:rsidRPr="00F41142">
        <w:rPr>
          <w:sz w:val="18"/>
          <w:szCs w:val="18"/>
        </w:rPr>
        <w:t>Agrees to forward all verbal and written complaints of discrimination to Child and Adult Nutrition Services.</w:t>
      </w:r>
    </w:p>
    <w:p w:rsidR="00A34FAB" w:rsidRPr="00F41142" w:rsidRDefault="00A34FAB">
      <w:pPr>
        <w:tabs>
          <w:tab w:val="left" w:pos="-720"/>
        </w:tabs>
        <w:suppressAutoHyphens/>
        <w:rPr>
          <w:sz w:val="18"/>
          <w:szCs w:val="18"/>
        </w:rPr>
      </w:pPr>
    </w:p>
    <w:p w:rsidR="00A34FAB" w:rsidRPr="00F41142" w:rsidRDefault="00A34FAB">
      <w:pPr>
        <w:numPr>
          <w:ilvl w:val="0"/>
          <w:numId w:val="12"/>
        </w:numPr>
        <w:tabs>
          <w:tab w:val="left" w:pos="-720"/>
          <w:tab w:val="left" w:pos="0"/>
        </w:tabs>
        <w:suppressAutoHyphens/>
        <w:rPr>
          <w:sz w:val="18"/>
          <w:szCs w:val="18"/>
        </w:rPr>
      </w:pPr>
      <w:r w:rsidRPr="00F41142">
        <w:rPr>
          <w:sz w:val="18"/>
          <w:szCs w:val="18"/>
        </w:rPr>
        <w:t xml:space="preserve">Agrees to submit to Child and Adult Nutrition Services any alterations to prototypes in </w:t>
      </w:r>
      <w:r w:rsidRPr="00FB6A47">
        <w:rPr>
          <w:sz w:val="18"/>
          <w:szCs w:val="18"/>
        </w:rPr>
        <w:t xml:space="preserve">Attachments </w:t>
      </w:r>
      <w:r w:rsidR="00291583" w:rsidRPr="00FB6A47">
        <w:rPr>
          <w:sz w:val="18"/>
          <w:szCs w:val="18"/>
        </w:rPr>
        <w:t>A - F</w:t>
      </w:r>
      <w:r w:rsidRPr="00F41142">
        <w:rPr>
          <w:sz w:val="18"/>
          <w:szCs w:val="18"/>
        </w:rPr>
        <w:t xml:space="preserve"> prior to implementation.  Such changes will be effective only upon approval.  All changes in eligibility criteria must be publicly announced in the same manner as at the beginning of the fiscal year.</w:t>
      </w:r>
    </w:p>
    <w:p w:rsidR="00A34FAB" w:rsidRPr="00F41142" w:rsidRDefault="00A34FAB">
      <w:pPr>
        <w:tabs>
          <w:tab w:val="left" w:pos="-720"/>
        </w:tabs>
        <w:suppressAutoHyphens/>
        <w:rPr>
          <w:sz w:val="18"/>
          <w:szCs w:val="18"/>
        </w:rPr>
      </w:pPr>
    </w:p>
    <w:p w:rsidR="00A34FAB" w:rsidRPr="00F41142" w:rsidRDefault="00A34FAB">
      <w:pPr>
        <w:numPr>
          <w:ilvl w:val="0"/>
          <w:numId w:val="12"/>
        </w:numPr>
        <w:tabs>
          <w:tab w:val="left" w:pos="-720"/>
        </w:tabs>
        <w:suppressAutoHyphens/>
        <w:rPr>
          <w:sz w:val="18"/>
          <w:szCs w:val="18"/>
        </w:rPr>
      </w:pPr>
      <w:r w:rsidRPr="00F41142">
        <w:rPr>
          <w:sz w:val="18"/>
          <w:szCs w:val="18"/>
        </w:rPr>
        <w:t>Agrees to maintain all records pertinent to SFSP reimbursement for 3 years past the cu</w:t>
      </w:r>
      <w:bookmarkStart w:id="4" w:name="_GoBack"/>
      <w:bookmarkEnd w:id="4"/>
      <w:r w:rsidRPr="00F41142">
        <w:rPr>
          <w:sz w:val="18"/>
          <w:szCs w:val="18"/>
        </w:rPr>
        <w:t>rrent year.</w:t>
      </w:r>
    </w:p>
    <w:p w:rsidR="00A34FAB" w:rsidRPr="00F41142" w:rsidRDefault="00A34FAB">
      <w:pPr>
        <w:tabs>
          <w:tab w:val="left" w:pos="-720"/>
        </w:tabs>
        <w:suppressAutoHyphens/>
        <w:rPr>
          <w:b/>
          <w:sz w:val="18"/>
          <w:szCs w:val="18"/>
        </w:rPr>
      </w:pPr>
    </w:p>
    <w:p w:rsidR="00A34FAB" w:rsidRPr="00F41142" w:rsidRDefault="00A34FAB">
      <w:pPr>
        <w:numPr>
          <w:ilvl w:val="0"/>
          <w:numId w:val="12"/>
        </w:numPr>
        <w:rPr>
          <w:snapToGrid w:val="0"/>
          <w:sz w:val="18"/>
          <w:szCs w:val="18"/>
        </w:rPr>
      </w:pPr>
      <w:r w:rsidRPr="00F41142">
        <w:rPr>
          <w:snapToGrid w:val="0"/>
          <w:sz w:val="18"/>
          <w:szCs w:val="18"/>
        </w:rPr>
        <w:t>Breakfasts, lunches, suppers and</w:t>
      </w:r>
      <w:r w:rsidR="00137730">
        <w:rPr>
          <w:snapToGrid w:val="0"/>
          <w:sz w:val="18"/>
          <w:szCs w:val="18"/>
        </w:rPr>
        <w:t xml:space="preserve"> snack/</w:t>
      </w:r>
      <w:r w:rsidRPr="00F41142">
        <w:rPr>
          <w:snapToGrid w:val="0"/>
          <w:sz w:val="18"/>
          <w:szCs w:val="18"/>
        </w:rPr>
        <w:t xml:space="preserve">supplements will be made available in pricing programs in compliance with               7CFR 225.6 (c)(4)(ii) without cost to all children who are determined under the Summer Food Service Program </w:t>
      </w:r>
      <w:r w:rsidR="00395673">
        <w:rPr>
          <w:snapToGrid w:val="0"/>
          <w:sz w:val="18"/>
          <w:szCs w:val="18"/>
        </w:rPr>
        <w:t>l</w:t>
      </w:r>
      <w:r w:rsidRPr="00F41142">
        <w:rPr>
          <w:snapToGrid w:val="0"/>
          <w:sz w:val="18"/>
          <w:szCs w:val="18"/>
        </w:rPr>
        <w:t xml:space="preserve">ocal </w:t>
      </w:r>
      <w:r w:rsidR="00395673">
        <w:rPr>
          <w:snapToGrid w:val="0"/>
          <w:sz w:val="18"/>
          <w:szCs w:val="18"/>
        </w:rPr>
        <w:t>a</w:t>
      </w:r>
      <w:r w:rsidRPr="00F41142">
        <w:rPr>
          <w:snapToGrid w:val="0"/>
          <w:sz w:val="18"/>
          <w:szCs w:val="18"/>
        </w:rPr>
        <w:t>gency's current approved free meal policy statement to be unable to pay the full price.</w:t>
      </w:r>
    </w:p>
    <w:p w:rsidR="00A34FAB" w:rsidRPr="00F41142" w:rsidRDefault="00A34FAB">
      <w:pPr>
        <w:pStyle w:val="TOAHeading"/>
        <w:tabs>
          <w:tab w:val="clear" w:pos="9360"/>
          <w:tab w:val="left" w:pos="-720"/>
        </w:tabs>
        <w:rPr>
          <w:rFonts w:ascii="Arial" w:hAnsi="Arial"/>
          <w:sz w:val="18"/>
          <w:szCs w:val="18"/>
        </w:rPr>
      </w:pPr>
    </w:p>
    <w:p w:rsidR="00A34FAB" w:rsidRPr="00F41142" w:rsidRDefault="00A34FAB">
      <w:pPr>
        <w:numPr>
          <w:ilvl w:val="0"/>
          <w:numId w:val="12"/>
        </w:numPr>
        <w:tabs>
          <w:tab w:val="left" w:pos="-720"/>
        </w:tabs>
        <w:suppressAutoHyphens/>
        <w:rPr>
          <w:sz w:val="18"/>
          <w:szCs w:val="18"/>
        </w:rPr>
      </w:pPr>
      <w:r w:rsidRPr="00F41142">
        <w:rPr>
          <w:sz w:val="18"/>
          <w:szCs w:val="18"/>
        </w:rPr>
        <w:t>For pricing programs only, the local agency also:</w:t>
      </w:r>
    </w:p>
    <w:p w:rsidR="00A34FAB" w:rsidRPr="00F41142" w:rsidRDefault="00A34FAB">
      <w:pPr>
        <w:tabs>
          <w:tab w:val="left" w:pos="-720"/>
          <w:tab w:val="left" w:pos="0"/>
        </w:tabs>
        <w:suppressAutoHyphens/>
        <w:ind w:left="720"/>
        <w:rPr>
          <w:sz w:val="18"/>
          <w:szCs w:val="18"/>
        </w:rPr>
      </w:pPr>
    </w:p>
    <w:p w:rsidR="00A34FAB" w:rsidRPr="00F41142" w:rsidRDefault="00A34FAB">
      <w:pPr>
        <w:numPr>
          <w:ilvl w:val="0"/>
          <w:numId w:val="1"/>
        </w:numPr>
        <w:tabs>
          <w:tab w:val="clear" w:pos="360"/>
          <w:tab w:val="left" w:pos="-720"/>
          <w:tab w:val="num" w:pos="0"/>
        </w:tabs>
        <w:suppressAutoHyphens/>
        <w:ind w:left="720"/>
        <w:rPr>
          <w:sz w:val="18"/>
          <w:szCs w:val="18"/>
        </w:rPr>
      </w:pPr>
      <w:r w:rsidRPr="00F41142">
        <w:rPr>
          <w:sz w:val="18"/>
          <w:szCs w:val="18"/>
        </w:rPr>
        <w:t xml:space="preserve">Agrees to serve meals free to children from families whose income meets the current USDA income eligibility guidelines listed on </w:t>
      </w:r>
      <w:r w:rsidRPr="00FB6A47">
        <w:rPr>
          <w:sz w:val="18"/>
          <w:szCs w:val="18"/>
        </w:rPr>
        <w:t xml:space="preserve">Attachment </w:t>
      </w:r>
      <w:r w:rsidR="00137730">
        <w:rPr>
          <w:sz w:val="18"/>
          <w:szCs w:val="18"/>
        </w:rPr>
        <w:t>D</w:t>
      </w:r>
      <w:r w:rsidRPr="00FB6A47">
        <w:rPr>
          <w:sz w:val="18"/>
          <w:szCs w:val="18"/>
        </w:rPr>
        <w:t>.</w:t>
      </w:r>
    </w:p>
    <w:p w:rsidR="00A34FAB" w:rsidRPr="00F41142" w:rsidRDefault="00A34FAB">
      <w:pPr>
        <w:tabs>
          <w:tab w:val="left" w:pos="-720"/>
        </w:tabs>
        <w:suppressAutoHyphens/>
        <w:ind w:left="720"/>
        <w:rPr>
          <w:sz w:val="18"/>
          <w:szCs w:val="18"/>
        </w:rPr>
      </w:pPr>
    </w:p>
    <w:p w:rsidR="00A34FAB" w:rsidRPr="00F41142" w:rsidRDefault="00A34FAB">
      <w:pPr>
        <w:numPr>
          <w:ilvl w:val="0"/>
          <w:numId w:val="1"/>
        </w:numPr>
        <w:tabs>
          <w:tab w:val="clear" w:pos="360"/>
          <w:tab w:val="left" w:pos="-720"/>
          <w:tab w:val="num" w:pos="0"/>
        </w:tabs>
        <w:suppressAutoHyphens/>
        <w:ind w:left="720"/>
        <w:rPr>
          <w:sz w:val="18"/>
          <w:szCs w:val="18"/>
        </w:rPr>
      </w:pPr>
      <w:r w:rsidRPr="00F41142">
        <w:rPr>
          <w:sz w:val="18"/>
          <w:szCs w:val="18"/>
        </w:rPr>
        <w:t>Agrees to provide meal benefits to any child whose family's income falls within the eligibility criteria, to eligible foster children, and to children whose parents become unemployed if the loss of income causes the family income to be within the eligibility criteria.</w:t>
      </w:r>
    </w:p>
    <w:p w:rsidR="00A34FAB" w:rsidRPr="00F41142" w:rsidRDefault="00A34FAB">
      <w:pPr>
        <w:tabs>
          <w:tab w:val="left" w:pos="-720"/>
        </w:tabs>
        <w:suppressAutoHyphens/>
        <w:ind w:left="720"/>
        <w:rPr>
          <w:sz w:val="18"/>
          <w:szCs w:val="18"/>
        </w:rPr>
      </w:pPr>
    </w:p>
    <w:p w:rsidR="00A34FAB" w:rsidRPr="00F41142" w:rsidRDefault="00A34FAB">
      <w:pPr>
        <w:numPr>
          <w:ilvl w:val="0"/>
          <w:numId w:val="1"/>
        </w:numPr>
        <w:tabs>
          <w:tab w:val="clear" w:pos="360"/>
          <w:tab w:val="left" w:pos="-720"/>
          <w:tab w:val="num" w:pos="0"/>
        </w:tabs>
        <w:suppressAutoHyphens/>
        <w:ind w:left="720"/>
        <w:rPr>
          <w:sz w:val="18"/>
          <w:szCs w:val="18"/>
        </w:rPr>
      </w:pPr>
      <w:r w:rsidRPr="00F41142">
        <w:rPr>
          <w:sz w:val="18"/>
          <w:szCs w:val="18"/>
        </w:rPr>
        <w:t>Agrees that there will be no physical segregation of, or any other discrimination against, any child because of inability to pay the full price of the meal.  The names of the children eligible to receive free meals shall not be published, posted, or announced in any manner, and there shall be no overt identification of any such children by use of special tokens or tickets or any other means.  Further assurance is given that children eligible for free meals shall not be required to: work for their meals, eat meals at a different time, or eat a meal different from the one sold to children paying the full price.</w:t>
      </w:r>
    </w:p>
    <w:p w:rsidR="00A34FAB" w:rsidRPr="00F41142" w:rsidRDefault="00A34FAB">
      <w:pPr>
        <w:tabs>
          <w:tab w:val="left" w:pos="-720"/>
        </w:tabs>
        <w:suppressAutoHyphens/>
        <w:ind w:left="720"/>
        <w:rPr>
          <w:sz w:val="18"/>
          <w:szCs w:val="18"/>
        </w:rPr>
      </w:pPr>
    </w:p>
    <w:p w:rsidR="00A34FAB" w:rsidRPr="00F41142" w:rsidRDefault="00A34FAB">
      <w:pPr>
        <w:numPr>
          <w:ilvl w:val="0"/>
          <w:numId w:val="1"/>
        </w:numPr>
        <w:tabs>
          <w:tab w:val="clear" w:pos="360"/>
          <w:tab w:val="left" w:pos="-720"/>
          <w:tab w:val="num" w:pos="0"/>
        </w:tabs>
        <w:suppressAutoHyphens/>
        <w:ind w:left="720"/>
        <w:rPr>
          <w:sz w:val="18"/>
          <w:szCs w:val="18"/>
        </w:rPr>
      </w:pPr>
      <w:r w:rsidRPr="00F41142">
        <w:rPr>
          <w:sz w:val="18"/>
          <w:szCs w:val="18"/>
        </w:rPr>
        <w:t xml:space="preserve">Agrees to establish and use a fair hearing procedure for parents' appeals of the local agency's decisions on free meal applications (meal benefit form or MBF), for local agency related challenges to the accuracy of information contained in the free meal applications (meal benefit form or MBF), or to the continued eligibility of any child for free meals.  During the appeal and hearing, the child will continue to receive free meals.  A record of all such appeals and challenges and their dispositions shall be retained for 3 years.  </w:t>
      </w:r>
    </w:p>
    <w:p w:rsidR="00A34FAB" w:rsidRPr="00F41142" w:rsidRDefault="00A34FAB">
      <w:pPr>
        <w:pStyle w:val="BodyTextIndent2"/>
        <w:ind w:left="720"/>
        <w:rPr>
          <w:sz w:val="18"/>
          <w:szCs w:val="18"/>
        </w:rPr>
      </w:pPr>
    </w:p>
    <w:p w:rsidR="00A34FAB" w:rsidRPr="00F41142" w:rsidRDefault="00A34FAB">
      <w:pPr>
        <w:pStyle w:val="BodyTextIndent2"/>
        <w:ind w:left="720"/>
        <w:rPr>
          <w:sz w:val="18"/>
          <w:szCs w:val="18"/>
        </w:rPr>
      </w:pPr>
      <w:r w:rsidRPr="00F41142">
        <w:rPr>
          <w:sz w:val="18"/>
          <w:szCs w:val="18"/>
        </w:rPr>
        <w:t>Prior to initiating the hearing procedure, the parent or local agency official may request a conference to provide an opportunity for the parent and local agency official to discuss the situation, present information, and obtain an explanation of data submitted in the application and decisions rendered.  Such a conference shall not in any way prejudice or diminish the right to a fair hearing.</w:t>
      </w:r>
    </w:p>
    <w:p w:rsidR="00A34FAB" w:rsidRPr="00F41142" w:rsidRDefault="00A34FAB">
      <w:pPr>
        <w:tabs>
          <w:tab w:val="left" w:pos="-720"/>
        </w:tabs>
        <w:suppressAutoHyphens/>
        <w:ind w:left="360"/>
        <w:rPr>
          <w:sz w:val="18"/>
          <w:szCs w:val="18"/>
        </w:rPr>
      </w:pPr>
    </w:p>
    <w:p w:rsidR="00A34FAB" w:rsidRPr="00F41142" w:rsidRDefault="00A34FAB">
      <w:pPr>
        <w:numPr>
          <w:ilvl w:val="0"/>
          <w:numId w:val="1"/>
        </w:numPr>
        <w:tabs>
          <w:tab w:val="clear" w:pos="360"/>
          <w:tab w:val="left" w:pos="-720"/>
          <w:tab w:val="num" w:pos="0"/>
        </w:tabs>
        <w:suppressAutoHyphens/>
        <w:ind w:left="720"/>
        <w:rPr>
          <w:sz w:val="18"/>
          <w:szCs w:val="18"/>
        </w:rPr>
      </w:pPr>
      <w:r w:rsidRPr="00F41142">
        <w:rPr>
          <w:sz w:val="18"/>
          <w:szCs w:val="18"/>
        </w:rPr>
        <w:t>The hearing procedure shall provide the following:</w:t>
      </w:r>
    </w:p>
    <w:p w:rsidR="00A34FAB" w:rsidRPr="00F41142" w:rsidRDefault="00A34FAB">
      <w:pPr>
        <w:tabs>
          <w:tab w:val="left" w:pos="-720"/>
        </w:tabs>
        <w:suppressAutoHyphens/>
        <w:ind w:left="144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A publicly announced, simple method for making an oral or written request for a hearing.</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An opportunity to be assisted or represented by an attorney or other person.</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An opportunity to examine, prior to and during the hearing, the documents and records presented to support the decision under appeal.</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Reasonable promptness and convenience in scheduling a hearing and adequate notice as to the time and place of the hearing.</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An opportunity to present oral or documentary evidence and arguments supporting its position.</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An opportunity to question or refute any testimony or other evidence and arguments supporting its position.</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That the hearing be conducted and the decision made by a hearing official who did not participate in the decision under appeal.</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 xml:space="preserve">That the decision of the hearing official be based on the oral and documentary evidence presented at the hearing and made a part of the hearing record.  </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That the parties concerned and any designated representatives thereof be notified in writing of the decision of the hearing official.</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That for each hearing a written record be prepared, including the issue under appeal, the documentary evidence, a summary of any oral testimony presented at the hearing, the decision of the hearing official, and the reasons therefor, and a copy of the notification to the parties concerned of the hearing official's decision.</w:t>
      </w:r>
    </w:p>
    <w:p w:rsidR="00A34FAB" w:rsidRPr="00F41142" w:rsidRDefault="00A34FAB">
      <w:pPr>
        <w:tabs>
          <w:tab w:val="left" w:pos="-720"/>
        </w:tabs>
        <w:suppressAutoHyphens/>
        <w:ind w:left="2160"/>
        <w:rPr>
          <w:sz w:val="18"/>
          <w:szCs w:val="18"/>
        </w:rPr>
      </w:pPr>
    </w:p>
    <w:p w:rsidR="00A34FAB" w:rsidRPr="00F41142" w:rsidRDefault="00A34FAB">
      <w:pPr>
        <w:numPr>
          <w:ilvl w:val="0"/>
          <w:numId w:val="3"/>
        </w:numPr>
        <w:tabs>
          <w:tab w:val="clear" w:pos="360"/>
          <w:tab w:val="left" w:pos="-720"/>
          <w:tab w:val="left" w:pos="0"/>
          <w:tab w:val="num" w:pos="1080"/>
        </w:tabs>
        <w:suppressAutoHyphens/>
        <w:ind w:left="1080"/>
        <w:rPr>
          <w:sz w:val="18"/>
          <w:szCs w:val="18"/>
        </w:rPr>
      </w:pPr>
      <w:r w:rsidRPr="00F41142">
        <w:rPr>
          <w:sz w:val="18"/>
          <w:szCs w:val="18"/>
        </w:rPr>
        <w:t>That such written record shall be preserved for a period of 3 years and shall be available for examination by the parties concerned or their representatives at any reasonable time and place during such a period.</w:t>
      </w:r>
    </w:p>
    <w:p w:rsidR="00A34FAB" w:rsidRPr="00F41142" w:rsidRDefault="00A34FAB">
      <w:pPr>
        <w:tabs>
          <w:tab w:val="left" w:pos="-720"/>
        </w:tabs>
        <w:suppressAutoHyphens/>
        <w:ind w:left="720"/>
        <w:rPr>
          <w:sz w:val="18"/>
          <w:szCs w:val="18"/>
        </w:rPr>
      </w:pPr>
    </w:p>
    <w:p w:rsidR="00A34FAB" w:rsidRPr="00F41142" w:rsidRDefault="00A34FAB">
      <w:pPr>
        <w:numPr>
          <w:ilvl w:val="0"/>
          <w:numId w:val="1"/>
        </w:numPr>
        <w:tabs>
          <w:tab w:val="clear" w:pos="360"/>
          <w:tab w:val="left" w:pos="-720"/>
          <w:tab w:val="num" w:pos="0"/>
        </w:tabs>
        <w:suppressAutoHyphens/>
        <w:ind w:left="720"/>
        <w:rPr>
          <w:sz w:val="18"/>
          <w:szCs w:val="18"/>
        </w:rPr>
      </w:pPr>
      <w:r w:rsidRPr="00F41142">
        <w:rPr>
          <w:sz w:val="18"/>
          <w:szCs w:val="18"/>
        </w:rPr>
        <w:t xml:space="preserve">Agrees to designate a determining official to review the free application forms and make determinations of eligibility.  This official will use the criteria outlined in this policy to determine which individual children are eligible for free meals. </w:t>
      </w:r>
    </w:p>
    <w:p w:rsidR="00A34FAB" w:rsidRPr="00F41142" w:rsidRDefault="00A34FAB">
      <w:pPr>
        <w:tabs>
          <w:tab w:val="left" w:pos="-720"/>
        </w:tabs>
        <w:suppressAutoHyphens/>
        <w:ind w:left="720"/>
        <w:rPr>
          <w:sz w:val="18"/>
          <w:szCs w:val="18"/>
        </w:rPr>
      </w:pPr>
    </w:p>
    <w:p w:rsidR="00A34FAB" w:rsidRPr="00F41142" w:rsidRDefault="00A34FAB">
      <w:pPr>
        <w:numPr>
          <w:ilvl w:val="0"/>
          <w:numId w:val="1"/>
        </w:numPr>
        <w:tabs>
          <w:tab w:val="clear" w:pos="360"/>
          <w:tab w:val="left" w:pos="-720"/>
          <w:tab w:val="num" w:pos="0"/>
        </w:tabs>
        <w:suppressAutoHyphens/>
        <w:ind w:left="720"/>
        <w:rPr>
          <w:sz w:val="18"/>
          <w:szCs w:val="18"/>
        </w:rPr>
      </w:pPr>
      <w:r w:rsidRPr="00F41142">
        <w:rPr>
          <w:sz w:val="18"/>
          <w:szCs w:val="18"/>
        </w:rPr>
        <w:t xml:space="preserve">Agrees to develop and send to each child's parent a letter, including </w:t>
      </w:r>
      <w:r w:rsidR="0072268C" w:rsidRPr="00F41142">
        <w:rPr>
          <w:sz w:val="18"/>
          <w:szCs w:val="18"/>
        </w:rPr>
        <w:t>an</w:t>
      </w:r>
      <w:r w:rsidRPr="00F41142">
        <w:rPr>
          <w:sz w:val="18"/>
          <w:szCs w:val="18"/>
        </w:rPr>
        <w:t xml:space="preserve"> eligibility application form for free meals, at the beginning of each fiscal year and whenever there is a change in eligibility criteria.  </w:t>
      </w:r>
    </w:p>
    <w:p w:rsidR="00A34FAB" w:rsidRPr="00F41142" w:rsidRDefault="00A34FAB">
      <w:pPr>
        <w:tabs>
          <w:tab w:val="left" w:pos="-720"/>
        </w:tabs>
        <w:suppressAutoHyphens/>
        <w:ind w:left="720"/>
        <w:rPr>
          <w:sz w:val="18"/>
          <w:szCs w:val="18"/>
        </w:rPr>
      </w:pPr>
    </w:p>
    <w:p w:rsidR="00A34FAB" w:rsidRPr="00F41142" w:rsidRDefault="00A34FAB">
      <w:pPr>
        <w:tabs>
          <w:tab w:val="left" w:pos="-720"/>
          <w:tab w:val="left" w:pos="0"/>
          <w:tab w:val="left" w:pos="1080"/>
        </w:tabs>
        <w:suppressAutoHyphens/>
        <w:ind w:left="720"/>
        <w:rPr>
          <w:sz w:val="18"/>
          <w:szCs w:val="18"/>
        </w:rPr>
      </w:pPr>
      <w:r w:rsidRPr="00F41142">
        <w:rPr>
          <w:sz w:val="18"/>
          <w:szCs w:val="18"/>
        </w:rPr>
        <w:t>Parents will be requested to complete this form and return it to the determining official (named in the Child and Adult Care Food Program Appeal) for review.  Such applications and documentation of action taken will be maintained for 3 years after the end of the fiscal year to which they pertain.</w:t>
      </w:r>
    </w:p>
    <w:p w:rsidR="00A34FAB" w:rsidRPr="00F41142" w:rsidRDefault="00A34FAB">
      <w:pPr>
        <w:tabs>
          <w:tab w:val="left" w:pos="-720"/>
        </w:tabs>
        <w:suppressAutoHyphens/>
        <w:rPr>
          <w:sz w:val="18"/>
          <w:szCs w:val="18"/>
        </w:rPr>
      </w:pPr>
    </w:p>
    <w:p w:rsidR="00A34FAB" w:rsidRPr="00F41142" w:rsidRDefault="00A34FAB">
      <w:pPr>
        <w:tabs>
          <w:tab w:val="left" w:pos="-720"/>
          <w:tab w:val="left" w:pos="0"/>
        </w:tabs>
        <w:suppressAutoHyphens/>
        <w:ind w:left="720"/>
        <w:rPr>
          <w:sz w:val="18"/>
          <w:szCs w:val="18"/>
        </w:rPr>
      </w:pPr>
      <w:r w:rsidRPr="00F41142">
        <w:rPr>
          <w:sz w:val="18"/>
          <w:szCs w:val="18"/>
        </w:rPr>
        <w:t>Applications may be filled out at any time during the year.  Any parent enrolling a child in a center for the first time shall be supplied with such documents.  If a child transfers from one center to another under the jurisdiction of the same sponsoring local agency, eligibility for free meals will be transferred to, and honored by, the receiving center.</w:t>
      </w:r>
    </w:p>
    <w:p w:rsidR="00A34FAB" w:rsidRPr="00F41142" w:rsidRDefault="00A34FAB">
      <w:pPr>
        <w:tabs>
          <w:tab w:val="left" w:pos="-720"/>
        </w:tabs>
        <w:suppressAutoHyphens/>
        <w:rPr>
          <w:sz w:val="18"/>
          <w:szCs w:val="18"/>
        </w:rPr>
      </w:pPr>
    </w:p>
    <w:p w:rsidR="00A34FAB" w:rsidRPr="00F41142" w:rsidRDefault="00A34FAB">
      <w:pPr>
        <w:tabs>
          <w:tab w:val="left" w:pos="-720"/>
          <w:tab w:val="left" w:pos="0"/>
        </w:tabs>
        <w:suppressAutoHyphens/>
        <w:ind w:left="720"/>
        <w:rPr>
          <w:sz w:val="18"/>
          <w:szCs w:val="18"/>
        </w:rPr>
      </w:pPr>
      <w:r w:rsidRPr="00F41142">
        <w:rPr>
          <w:sz w:val="18"/>
          <w:szCs w:val="18"/>
        </w:rPr>
        <w:t>Within 10 working days after the local agency receives a completed free meals application, it shall notify the parent of acceptance or denial for free meals.  The appropriate rates shall be effective immediately after such decision is rendered.  All children from a family will receive the same benefits.</w:t>
      </w:r>
    </w:p>
    <w:p w:rsidR="00A34FAB" w:rsidRPr="00F41142" w:rsidRDefault="00A34FAB">
      <w:pPr>
        <w:tabs>
          <w:tab w:val="left" w:pos="-720"/>
        </w:tabs>
        <w:suppressAutoHyphens/>
        <w:rPr>
          <w:sz w:val="18"/>
          <w:szCs w:val="18"/>
        </w:rPr>
      </w:pPr>
    </w:p>
    <w:p w:rsidR="00A34FAB" w:rsidRPr="00F41142" w:rsidRDefault="00A34FAB">
      <w:pPr>
        <w:pStyle w:val="BodyTextIndent"/>
        <w:ind w:firstLine="0"/>
        <w:rPr>
          <w:sz w:val="18"/>
          <w:szCs w:val="18"/>
        </w:rPr>
      </w:pPr>
      <w:r w:rsidRPr="00F41142">
        <w:rPr>
          <w:sz w:val="18"/>
          <w:szCs w:val="18"/>
        </w:rPr>
        <w:t xml:space="preserve">When </w:t>
      </w:r>
      <w:r w:rsidR="0072268C" w:rsidRPr="00F41142">
        <w:rPr>
          <w:sz w:val="18"/>
          <w:szCs w:val="18"/>
        </w:rPr>
        <w:t>an</w:t>
      </w:r>
      <w:r w:rsidRPr="00F41142">
        <w:rPr>
          <w:sz w:val="18"/>
          <w:szCs w:val="18"/>
        </w:rPr>
        <w:t xml:space="preserve"> eligibility application form is rejected, the parent will be informed of the reason for denial and of the hearing procedure. The hearing official must be someone not involved in the original eligibility determination.  Further, it is suggested that he/she hold a position superior to that of the determining official.</w:t>
      </w:r>
    </w:p>
    <w:p w:rsidR="00A34FAB" w:rsidRPr="00F41142" w:rsidRDefault="00A34FAB">
      <w:pPr>
        <w:tabs>
          <w:tab w:val="left" w:pos="-720"/>
          <w:tab w:val="center" w:pos="360"/>
        </w:tabs>
        <w:suppressAutoHyphens/>
        <w:rPr>
          <w:sz w:val="18"/>
          <w:szCs w:val="18"/>
        </w:rPr>
      </w:pPr>
    </w:p>
    <w:p w:rsidR="00A34FAB" w:rsidRPr="00F41142" w:rsidRDefault="00A34FAB">
      <w:pPr>
        <w:numPr>
          <w:ilvl w:val="0"/>
          <w:numId w:val="1"/>
        </w:numPr>
        <w:tabs>
          <w:tab w:val="clear" w:pos="360"/>
          <w:tab w:val="left" w:pos="-720"/>
          <w:tab w:val="num" w:pos="0"/>
        </w:tabs>
        <w:suppressAutoHyphens/>
        <w:ind w:left="720"/>
        <w:rPr>
          <w:sz w:val="18"/>
          <w:szCs w:val="18"/>
        </w:rPr>
      </w:pPr>
      <w:r w:rsidRPr="00F41142">
        <w:rPr>
          <w:sz w:val="18"/>
          <w:szCs w:val="18"/>
        </w:rPr>
        <w:t>Agrees to establish a procedure for collecting payments from parents of children who pay for their meals and to account for the number of paid and free meals served.  This collection procedure must prevent overt identification of those children receiving free meals.</w:t>
      </w:r>
    </w:p>
    <w:p w:rsidR="00A34FAB" w:rsidRPr="00F41142" w:rsidRDefault="00A34FAB">
      <w:pPr>
        <w:tabs>
          <w:tab w:val="center" w:pos="720"/>
        </w:tabs>
        <w:rPr>
          <w:sz w:val="18"/>
          <w:szCs w:val="18"/>
        </w:rPr>
      </w:pPr>
    </w:p>
    <w:p w:rsidR="00A34FAB" w:rsidRPr="00F41142" w:rsidRDefault="00A34FAB">
      <w:pPr>
        <w:numPr>
          <w:ilvl w:val="0"/>
          <w:numId w:val="12"/>
        </w:numPr>
        <w:tabs>
          <w:tab w:val="center" w:pos="720"/>
        </w:tabs>
        <w:rPr>
          <w:sz w:val="18"/>
          <w:szCs w:val="18"/>
        </w:rPr>
      </w:pPr>
      <w:r w:rsidRPr="00F41142">
        <w:rPr>
          <w:sz w:val="18"/>
          <w:szCs w:val="18"/>
        </w:rPr>
        <w:t>For non</w:t>
      </w:r>
      <w:r w:rsidR="00727ED6">
        <w:rPr>
          <w:sz w:val="18"/>
          <w:szCs w:val="18"/>
        </w:rPr>
        <w:t>-</w:t>
      </w:r>
      <w:r w:rsidRPr="00F41142">
        <w:rPr>
          <w:sz w:val="18"/>
          <w:szCs w:val="18"/>
        </w:rPr>
        <w:t>pricing programs only, the local agency:</w:t>
      </w:r>
    </w:p>
    <w:p w:rsidR="00A34FAB" w:rsidRPr="00F41142" w:rsidRDefault="00A34FAB">
      <w:pPr>
        <w:tabs>
          <w:tab w:val="center" w:pos="360"/>
          <w:tab w:val="center" w:pos="720"/>
        </w:tabs>
        <w:rPr>
          <w:sz w:val="18"/>
          <w:szCs w:val="18"/>
        </w:rPr>
      </w:pPr>
    </w:p>
    <w:p w:rsidR="00A34FAB" w:rsidRPr="00F41142" w:rsidRDefault="00A34FAB">
      <w:pPr>
        <w:numPr>
          <w:ilvl w:val="0"/>
          <w:numId w:val="5"/>
        </w:numPr>
        <w:tabs>
          <w:tab w:val="clear" w:pos="360"/>
          <w:tab w:val="num" w:pos="720"/>
        </w:tabs>
        <w:ind w:left="720"/>
        <w:rPr>
          <w:sz w:val="18"/>
          <w:szCs w:val="18"/>
        </w:rPr>
      </w:pPr>
      <w:r w:rsidRPr="00F41142">
        <w:rPr>
          <w:sz w:val="18"/>
          <w:szCs w:val="18"/>
        </w:rPr>
        <w:t xml:space="preserve">Agrees to serve the same meals at no separate charge, regardless of race, color, national origin, sex, age, or </w:t>
      </w:r>
      <w:r w:rsidR="00802234">
        <w:rPr>
          <w:sz w:val="18"/>
          <w:szCs w:val="18"/>
        </w:rPr>
        <w:t xml:space="preserve">disability </w:t>
      </w:r>
      <w:r w:rsidRPr="00F41142">
        <w:rPr>
          <w:sz w:val="18"/>
          <w:szCs w:val="18"/>
        </w:rPr>
        <w:t>and that there is no discrimination in the course of the food service.</w:t>
      </w:r>
    </w:p>
    <w:p w:rsidR="00A34FAB" w:rsidRPr="00F41142" w:rsidRDefault="00A34FAB">
      <w:pPr>
        <w:ind w:left="360"/>
        <w:rPr>
          <w:sz w:val="18"/>
          <w:szCs w:val="18"/>
        </w:rPr>
      </w:pPr>
    </w:p>
    <w:p w:rsidR="00A34FAB" w:rsidRPr="00F41142" w:rsidRDefault="00A34FAB">
      <w:pPr>
        <w:numPr>
          <w:ilvl w:val="0"/>
          <w:numId w:val="5"/>
        </w:numPr>
        <w:tabs>
          <w:tab w:val="clear" w:pos="360"/>
          <w:tab w:val="num" w:pos="720"/>
        </w:tabs>
        <w:ind w:left="720"/>
        <w:rPr>
          <w:sz w:val="18"/>
          <w:szCs w:val="18"/>
        </w:rPr>
      </w:pPr>
      <w:r w:rsidRPr="00F41142">
        <w:rPr>
          <w:sz w:val="18"/>
          <w:szCs w:val="18"/>
        </w:rPr>
        <w:t>Agrees to limit the use of free eligibility information concerning individual households to persons directly connected with the administration and enforcement of the Program or other entities allowed by law.</w:t>
      </w:r>
    </w:p>
    <w:sectPr w:rsidR="00A34FAB" w:rsidRPr="00F41142" w:rsidSect="00FB684D">
      <w:pgSz w:w="12240" w:h="15840" w:code="1"/>
      <w:pgMar w:top="720" w:right="576"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9C" w:rsidRDefault="003A259C">
      <w:r>
        <w:separator/>
      </w:r>
    </w:p>
  </w:endnote>
  <w:endnote w:type="continuationSeparator" w:id="0">
    <w:p w:rsidR="003A259C" w:rsidRDefault="003A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D9" w:rsidRDefault="00CE28D9" w:rsidP="00A03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8D9" w:rsidRDefault="00CE28D9" w:rsidP="00A030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D9" w:rsidRPr="00A030D7" w:rsidRDefault="00CE28D9" w:rsidP="00470A10">
    <w:pPr>
      <w:pStyle w:val="Footer"/>
      <w:framePr w:wrap="around" w:vAnchor="text" w:hAnchor="margin" w:xAlign="right" w:y="1"/>
      <w:rPr>
        <w:rStyle w:val="PageNumber"/>
        <w:sz w:val="16"/>
        <w:szCs w:val="16"/>
      </w:rPr>
    </w:pPr>
    <w:r w:rsidRPr="00A030D7">
      <w:rPr>
        <w:rStyle w:val="PageNumber"/>
        <w:sz w:val="16"/>
        <w:szCs w:val="16"/>
      </w:rPr>
      <w:fldChar w:fldCharType="begin"/>
    </w:r>
    <w:r w:rsidRPr="00A030D7">
      <w:rPr>
        <w:rStyle w:val="PageNumber"/>
        <w:sz w:val="16"/>
        <w:szCs w:val="16"/>
      </w:rPr>
      <w:instrText xml:space="preserve">PAGE  </w:instrText>
    </w:r>
    <w:r w:rsidRPr="00A030D7">
      <w:rPr>
        <w:rStyle w:val="PageNumber"/>
        <w:sz w:val="16"/>
        <w:szCs w:val="16"/>
      </w:rPr>
      <w:fldChar w:fldCharType="separate"/>
    </w:r>
    <w:r w:rsidR="000E422A">
      <w:rPr>
        <w:rStyle w:val="PageNumber"/>
        <w:noProof/>
        <w:sz w:val="16"/>
        <w:szCs w:val="16"/>
      </w:rPr>
      <w:t>14</w:t>
    </w:r>
    <w:r w:rsidRPr="00A030D7">
      <w:rPr>
        <w:rStyle w:val="PageNumber"/>
        <w:sz w:val="16"/>
        <w:szCs w:val="16"/>
      </w:rPr>
      <w:fldChar w:fldCharType="end"/>
    </w:r>
  </w:p>
  <w:p w:rsidR="00CE28D9" w:rsidRDefault="00CE28D9" w:rsidP="00A030D7">
    <w:pPr>
      <w:pStyle w:val="Footer"/>
      <w:ind w:right="360"/>
      <w:rPr>
        <w:snapToGrid w:val="0"/>
        <w:sz w:val="16"/>
      </w:rPr>
    </w:pPr>
    <w:r w:rsidRPr="0019753D">
      <w:rPr>
        <w:snapToGrid w:val="0"/>
        <w:sz w:val="16"/>
      </w:rPr>
      <w:fldChar w:fldCharType="begin"/>
    </w:r>
    <w:r w:rsidRPr="0019753D">
      <w:rPr>
        <w:snapToGrid w:val="0"/>
        <w:sz w:val="16"/>
      </w:rPr>
      <w:instrText xml:space="preserve"> FILENAME </w:instrText>
    </w:r>
    <w:r w:rsidRPr="0019753D">
      <w:rPr>
        <w:snapToGrid w:val="0"/>
        <w:sz w:val="16"/>
      </w:rPr>
      <w:fldChar w:fldCharType="separate"/>
    </w:r>
    <w:r w:rsidR="000E422A">
      <w:rPr>
        <w:noProof/>
        <w:snapToGrid w:val="0"/>
        <w:sz w:val="16"/>
      </w:rPr>
      <w:t>2015 SFSP Part 4 policy statement.docx</w:t>
    </w:r>
    <w:r w:rsidRPr="0019753D">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9C" w:rsidRDefault="003A259C">
      <w:r>
        <w:separator/>
      </w:r>
    </w:p>
  </w:footnote>
  <w:footnote w:type="continuationSeparator" w:id="0">
    <w:p w:rsidR="003A259C" w:rsidRDefault="003A2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B11"/>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1">
    <w:nsid w:val="03516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0FDF1A82"/>
    <w:multiLevelType w:val="singleLevel"/>
    <w:tmpl w:val="47864CA0"/>
    <w:lvl w:ilvl="0">
      <w:start w:val="1"/>
      <w:numFmt w:val="lowerLetter"/>
      <w:lvlText w:val="(%1)"/>
      <w:lvlJc w:val="left"/>
      <w:pPr>
        <w:tabs>
          <w:tab w:val="num" w:pos="360"/>
        </w:tabs>
        <w:ind w:left="360" w:hanging="360"/>
      </w:pPr>
    </w:lvl>
  </w:abstractNum>
  <w:abstractNum w:abstractNumId="3">
    <w:nsid w:val="1642108F"/>
    <w:multiLevelType w:val="singleLevel"/>
    <w:tmpl w:val="04090019"/>
    <w:lvl w:ilvl="0">
      <w:start w:val="1"/>
      <w:numFmt w:val="lowerLetter"/>
      <w:lvlText w:val="(%1)"/>
      <w:lvlJc w:val="left"/>
      <w:pPr>
        <w:tabs>
          <w:tab w:val="num" w:pos="360"/>
        </w:tabs>
        <w:ind w:left="360" w:hanging="360"/>
      </w:pPr>
    </w:lvl>
  </w:abstractNum>
  <w:abstractNum w:abstractNumId="4">
    <w:nsid w:val="1C437474"/>
    <w:multiLevelType w:val="singleLevel"/>
    <w:tmpl w:val="216EC3CC"/>
    <w:lvl w:ilvl="0">
      <w:start w:val="2"/>
      <w:numFmt w:val="decimal"/>
      <w:lvlText w:val="%1."/>
      <w:lvlJc w:val="left"/>
      <w:pPr>
        <w:tabs>
          <w:tab w:val="num" w:pos="360"/>
        </w:tabs>
        <w:ind w:left="360" w:hanging="360"/>
      </w:pPr>
      <w:rPr>
        <w:rFonts w:hint="default"/>
        <w:sz w:val="18"/>
        <w:szCs w:val="18"/>
      </w:rPr>
    </w:lvl>
  </w:abstractNum>
  <w:abstractNum w:abstractNumId="5">
    <w:nsid w:val="1DBE48B1"/>
    <w:multiLevelType w:val="singleLevel"/>
    <w:tmpl w:val="04090019"/>
    <w:lvl w:ilvl="0">
      <w:start w:val="1"/>
      <w:numFmt w:val="lowerLetter"/>
      <w:lvlText w:val="(%1)"/>
      <w:lvlJc w:val="left"/>
      <w:pPr>
        <w:tabs>
          <w:tab w:val="num" w:pos="360"/>
        </w:tabs>
        <w:ind w:left="360" w:hanging="360"/>
      </w:pPr>
    </w:lvl>
  </w:abstractNum>
  <w:abstractNum w:abstractNumId="6">
    <w:nsid w:val="249B057A"/>
    <w:multiLevelType w:val="singleLevel"/>
    <w:tmpl w:val="04090019"/>
    <w:lvl w:ilvl="0">
      <w:start w:val="1"/>
      <w:numFmt w:val="lowerLetter"/>
      <w:lvlText w:val="(%1)"/>
      <w:lvlJc w:val="left"/>
      <w:pPr>
        <w:tabs>
          <w:tab w:val="num" w:pos="360"/>
        </w:tabs>
        <w:ind w:left="360" w:hanging="360"/>
      </w:pPr>
    </w:lvl>
  </w:abstractNum>
  <w:abstractNum w:abstractNumId="7">
    <w:nsid w:val="427426EE"/>
    <w:multiLevelType w:val="singleLevel"/>
    <w:tmpl w:val="54C68944"/>
    <w:lvl w:ilvl="0">
      <w:start w:val="10"/>
      <w:numFmt w:val="decimal"/>
      <w:lvlText w:val="%1."/>
      <w:lvlJc w:val="left"/>
      <w:pPr>
        <w:tabs>
          <w:tab w:val="num" w:pos="360"/>
        </w:tabs>
        <w:ind w:left="360" w:hanging="360"/>
      </w:pPr>
    </w:lvl>
  </w:abstractNum>
  <w:abstractNum w:abstractNumId="8">
    <w:nsid w:val="54225EE4"/>
    <w:multiLevelType w:val="singleLevel"/>
    <w:tmpl w:val="04090011"/>
    <w:lvl w:ilvl="0">
      <w:start w:val="1"/>
      <w:numFmt w:val="decimal"/>
      <w:lvlText w:val="%1)"/>
      <w:lvlJc w:val="left"/>
      <w:pPr>
        <w:tabs>
          <w:tab w:val="num" w:pos="360"/>
        </w:tabs>
        <w:ind w:left="360" w:hanging="360"/>
      </w:pPr>
    </w:lvl>
  </w:abstractNum>
  <w:abstractNum w:abstractNumId="9">
    <w:nsid w:val="6C1831A7"/>
    <w:multiLevelType w:val="singleLevel"/>
    <w:tmpl w:val="A3B268BE"/>
    <w:lvl w:ilvl="0">
      <w:start w:val="9"/>
      <w:numFmt w:val="decimal"/>
      <w:lvlText w:val="%1."/>
      <w:lvlJc w:val="left"/>
      <w:pPr>
        <w:tabs>
          <w:tab w:val="num" w:pos="360"/>
        </w:tabs>
        <w:ind w:left="360" w:hanging="360"/>
      </w:pPr>
    </w:lvl>
  </w:abstractNum>
  <w:abstractNum w:abstractNumId="10">
    <w:nsid w:val="6FBD7741"/>
    <w:multiLevelType w:val="singleLevel"/>
    <w:tmpl w:val="04090019"/>
    <w:lvl w:ilvl="0">
      <w:start w:val="1"/>
      <w:numFmt w:val="lowerLetter"/>
      <w:lvlText w:val="(%1)"/>
      <w:lvlJc w:val="left"/>
      <w:pPr>
        <w:tabs>
          <w:tab w:val="num" w:pos="360"/>
        </w:tabs>
        <w:ind w:left="360" w:hanging="360"/>
      </w:pPr>
    </w:lvl>
  </w:abstractNum>
  <w:abstractNum w:abstractNumId="11">
    <w:nsid w:val="7A0C6A0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1"/>
  </w:num>
  <w:num w:numId="3">
    <w:abstractNumId w:val="8"/>
  </w:num>
  <w:num w:numId="4">
    <w:abstractNumId w:val="9"/>
  </w:num>
  <w:num w:numId="5">
    <w:abstractNumId w:val="2"/>
  </w:num>
  <w:num w:numId="6">
    <w:abstractNumId w:val="7"/>
  </w:num>
  <w:num w:numId="7">
    <w:abstractNumId w:val="0"/>
  </w:num>
  <w:num w:numId="8">
    <w:abstractNumId w:val="6"/>
  </w:num>
  <w:num w:numId="9">
    <w:abstractNumId w:val="1"/>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5B"/>
    <w:rsid w:val="000137D1"/>
    <w:rsid w:val="00056E36"/>
    <w:rsid w:val="000E1EF0"/>
    <w:rsid w:val="000E422A"/>
    <w:rsid w:val="00137730"/>
    <w:rsid w:val="0019753D"/>
    <w:rsid w:val="001C01B7"/>
    <w:rsid w:val="001C4157"/>
    <w:rsid w:val="001F508D"/>
    <w:rsid w:val="002510AF"/>
    <w:rsid w:val="00274D57"/>
    <w:rsid w:val="00291583"/>
    <w:rsid w:val="0029568F"/>
    <w:rsid w:val="002A7988"/>
    <w:rsid w:val="00322813"/>
    <w:rsid w:val="00323F8D"/>
    <w:rsid w:val="00372CE7"/>
    <w:rsid w:val="00395673"/>
    <w:rsid w:val="003A259C"/>
    <w:rsid w:val="00423CFD"/>
    <w:rsid w:val="00434BF2"/>
    <w:rsid w:val="00470A10"/>
    <w:rsid w:val="004F06D4"/>
    <w:rsid w:val="00532D61"/>
    <w:rsid w:val="00535FFE"/>
    <w:rsid w:val="00557860"/>
    <w:rsid w:val="00587E82"/>
    <w:rsid w:val="006044F6"/>
    <w:rsid w:val="006156B3"/>
    <w:rsid w:val="00626674"/>
    <w:rsid w:val="0066182B"/>
    <w:rsid w:val="006A324A"/>
    <w:rsid w:val="006E6CAF"/>
    <w:rsid w:val="006F3B48"/>
    <w:rsid w:val="00712A5B"/>
    <w:rsid w:val="0072268C"/>
    <w:rsid w:val="00727ED6"/>
    <w:rsid w:val="00801256"/>
    <w:rsid w:val="00802234"/>
    <w:rsid w:val="00833F5A"/>
    <w:rsid w:val="00843279"/>
    <w:rsid w:val="008A25A2"/>
    <w:rsid w:val="009521EB"/>
    <w:rsid w:val="00952B05"/>
    <w:rsid w:val="009855A6"/>
    <w:rsid w:val="009B72C6"/>
    <w:rsid w:val="00A030D7"/>
    <w:rsid w:val="00A171ED"/>
    <w:rsid w:val="00A34FAB"/>
    <w:rsid w:val="00A71121"/>
    <w:rsid w:val="00B54CEB"/>
    <w:rsid w:val="00B677BC"/>
    <w:rsid w:val="00C35E96"/>
    <w:rsid w:val="00C4120E"/>
    <w:rsid w:val="00C778B0"/>
    <w:rsid w:val="00CA61B8"/>
    <w:rsid w:val="00CD09C2"/>
    <w:rsid w:val="00CE0F86"/>
    <w:rsid w:val="00CE28D9"/>
    <w:rsid w:val="00D528D5"/>
    <w:rsid w:val="00D86161"/>
    <w:rsid w:val="00DC60FD"/>
    <w:rsid w:val="00DF1E9E"/>
    <w:rsid w:val="00E37A7F"/>
    <w:rsid w:val="00E7138B"/>
    <w:rsid w:val="00E908C4"/>
    <w:rsid w:val="00ED65F3"/>
    <w:rsid w:val="00F15F68"/>
    <w:rsid w:val="00F21ACD"/>
    <w:rsid w:val="00F41142"/>
    <w:rsid w:val="00F47E29"/>
    <w:rsid w:val="00FB05FD"/>
    <w:rsid w:val="00FB684D"/>
    <w:rsid w:val="00FB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5400"/>
      </w:tabs>
      <w:suppressAutoHyphens/>
      <w:jc w:val="center"/>
      <w:outlineLvl w:val="0"/>
    </w:pPr>
    <w:rPr>
      <w:b/>
      <w:sz w:val="20"/>
    </w:rPr>
  </w:style>
  <w:style w:type="paragraph" w:styleId="Heading2">
    <w:name w:val="heading 2"/>
    <w:basedOn w:val="Normal"/>
    <w:next w:val="Normal"/>
    <w:qFormat/>
    <w:pPr>
      <w:keepNext/>
      <w:tabs>
        <w:tab w:val="center" w:pos="4680"/>
      </w:tabs>
      <w:suppressAutoHyphens/>
      <w:jc w:val="center"/>
      <w:outlineLvl w:val="1"/>
    </w:pPr>
    <w:rPr>
      <w:b/>
      <w:sz w:val="22"/>
    </w:rPr>
  </w:style>
  <w:style w:type="paragraph" w:styleId="Heading3">
    <w:name w:val="heading 3"/>
    <w:basedOn w:val="Normal"/>
    <w:next w:val="Normal"/>
    <w:qFormat/>
    <w:pPr>
      <w:keepNext/>
      <w:tabs>
        <w:tab w:val="left" w:pos="-720"/>
      </w:tabs>
      <w:suppressAutoHyphens/>
      <w:ind w:left="1080"/>
      <w:outlineLvl w:val="2"/>
    </w:pPr>
    <w:rPr>
      <w:b/>
      <w:sz w:val="20"/>
    </w:rPr>
  </w:style>
  <w:style w:type="paragraph" w:styleId="Heading4">
    <w:name w:val="heading 4"/>
    <w:basedOn w:val="Normal"/>
    <w:next w:val="Normal"/>
    <w:qFormat/>
    <w:pPr>
      <w:keepNext/>
      <w:tabs>
        <w:tab w:val="left" w:pos="990"/>
      </w:tabs>
      <w:suppressAutoHyphens/>
      <w:jc w:val="center"/>
      <w:outlineLvl w:val="3"/>
    </w:pPr>
    <w:rPr>
      <w:b/>
    </w:rPr>
  </w:style>
  <w:style w:type="paragraph" w:styleId="Heading5">
    <w:name w:val="heading 5"/>
    <w:basedOn w:val="Normal"/>
    <w:next w:val="Normal"/>
    <w:qFormat/>
    <w:pPr>
      <w:keepNext/>
      <w:outlineLvl w:val="4"/>
    </w:pPr>
    <w:rPr>
      <w:b/>
      <w:sz w:val="20"/>
    </w:rPr>
  </w:style>
  <w:style w:type="paragraph" w:styleId="Heading7">
    <w:name w:val="heading 7"/>
    <w:basedOn w:val="Normal"/>
    <w:next w:val="Normal"/>
    <w:qFormat/>
    <w:pPr>
      <w:keepNext/>
      <w:tabs>
        <w:tab w:val="left" w:pos="-720"/>
      </w:tabs>
      <w:suppressAutoHyphens/>
      <w:spacing w:before="90" w:after="54"/>
      <w:outlineLvl w:val="6"/>
    </w:pPr>
    <w:rPr>
      <w:b/>
      <w:sz w:val="16"/>
    </w:rPr>
  </w:style>
  <w:style w:type="paragraph" w:styleId="Heading8">
    <w:name w:val="heading 8"/>
    <w:basedOn w:val="Normal"/>
    <w:next w:val="Normal"/>
    <w:qFormat/>
    <w:pPr>
      <w:keepNext/>
      <w:pBdr>
        <w:bottom w:val="single" w:sz="6" w:space="1" w:color="auto"/>
      </w:pBdr>
      <w:tabs>
        <w:tab w:val="left" w:pos="-720"/>
      </w:tabs>
      <w:suppressAutoHyphens/>
      <w:jc w:val="center"/>
      <w:outlineLvl w:val="7"/>
    </w:pPr>
    <w:rPr>
      <w:b/>
      <w:sz w:val="16"/>
    </w:rPr>
  </w:style>
  <w:style w:type="paragraph" w:styleId="Heading9">
    <w:name w:val="heading 9"/>
    <w:basedOn w:val="Normal"/>
    <w:next w:val="Normal"/>
    <w:qFormat/>
    <w:pPr>
      <w:keepNext/>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rPr>
      <w:rFonts w:ascii="Lucida Sans Typewriter" w:hAnsi="Lucida Sans Typewriter"/>
      <w:sz w:val="20"/>
    </w:rPr>
  </w:style>
  <w:style w:type="paragraph" w:styleId="BodyTextIndent">
    <w:name w:val="Body Text Indent"/>
    <w:basedOn w:val="Normal"/>
    <w:pPr>
      <w:tabs>
        <w:tab w:val="left" w:pos="-720"/>
        <w:tab w:val="left" w:pos="0"/>
      </w:tabs>
      <w:suppressAutoHyphens/>
      <w:ind w:left="720" w:hanging="720"/>
    </w:pPr>
    <w:rPr>
      <w:sz w:val="20"/>
    </w:rPr>
  </w:style>
  <w:style w:type="paragraph" w:styleId="BodyTextIndent2">
    <w:name w:val="Body Text Indent 2"/>
    <w:basedOn w:val="Normal"/>
    <w:pPr>
      <w:tabs>
        <w:tab w:val="left" w:pos="-720"/>
      </w:tabs>
      <w:suppressAutoHyphens/>
      <w:ind w:left="1080"/>
    </w:pPr>
    <w:rPr>
      <w:sz w:val="20"/>
    </w:rPr>
  </w:style>
  <w:style w:type="paragraph" w:styleId="BodyText3">
    <w:name w:val="Body Text 3"/>
    <w:basedOn w:val="Normal"/>
    <w:pPr>
      <w:suppressAutoHyphens/>
    </w:pPr>
    <w:rPr>
      <w:sz w:val="18"/>
    </w:rPr>
  </w:style>
  <w:style w:type="paragraph" w:styleId="Title">
    <w:name w:val="Title"/>
    <w:basedOn w:val="Normal"/>
    <w:qFormat/>
    <w:pPr>
      <w:jc w:val="center"/>
    </w:pPr>
    <w:rPr>
      <w:rFonts w:ascii="Times New Roman" w:hAnsi="Times New Roman"/>
      <w:b/>
      <w:u w:val="single"/>
    </w:rPr>
  </w:style>
  <w:style w:type="paragraph" w:customStyle="1" w:styleId="Document1">
    <w:name w:val="Document 1"/>
    <w:pPr>
      <w:keepNext/>
      <w:keepLines/>
      <w:tabs>
        <w:tab w:val="left" w:pos="-720"/>
      </w:tabs>
      <w:suppressAutoHyphens/>
    </w:pPr>
    <w:rPr>
      <w:rFonts w:ascii="Lucida Sans Typewriter" w:hAnsi="Lucida Sans Typewriter"/>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s>
      <w:suppressAutoHyphens/>
    </w:pPr>
    <w:rPr>
      <w:sz w:val="16"/>
    </w:rPr>
  </w:style>
  <w:style w:type="paragraph" w:styleId="BodyText">
    <w:name w:val="Body Text"/>
    <w:basedOn w:val="Normal"/>
    <w:pPr>
      <w:tabs>
        <w:tab w:val="center" w:pos="5083"/>
      </w:tabs>
      <w:suppressAutoHyphens/>
    </w:pPr>
    <w:rPr>
      <w:sz w:val="18"/>
    </w:rPr>
  </w:style>
  <w:style w:type="paragraph" w:styleId="Header">
    <w:name w:val="header"/>
    <w:basedOn w:val="Normal"/>
    <w:pPr>
      <w:tabs>
        <w:tab w:val="center" w:pos="4320"/>
        <w:tab w:val="right" w:pos="8640"/>
      </w:tabs>
    </w:pPr>
    <w:rPr>
      <w:rFonts w:ascii="Lucida Sans Typewriter" w:hAnsi="Lucida Sans Typewriter"/>
      <w:sz w:val="20"/>
    </w:rPr>
  </w:style>
  <w:style w:type="paragraph" w:styleId="EndnoteText">
    <w:name w:val="endnote text"/>
    <w:basedOn w:val="Normal"/>
    <w:semiHidden/>
    <w:rPr>
      <w:rFonts w:ascii="Lucida Sans Typewriter" w:hAnsi="Lucida Sans Typewrite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0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55A6"/>
    <w:rPr>
      <w:rFonts w:ascii="Tahoma" w:hAnsi="Tahoma" w:cs="Tahoma"/>
      <w:sz w:val="16"/>
      <w:szCs w:val="16"/>
    </w:rPr>
  </w:style>
  <w:style w:type="character" w:styleId="CommentReference">
    <w:name w:val="annotation reference"/>
    <w:semiHidden/>
    <w:rsid w:val="00F47E29"/>
    <w:rPr>
      <w:sz w:val="16"/>
      <w:szCs w:val="16"/>
    </w:rPr>
  </w:style>
  <w:style w:type="paragraph" w:styleId="CommentText">
    <w:name w:val="annotation text"/>
    <w:basedOn w:val="Normal"/>
    <w:semiHidden/>
    <w:rsid w:val="00F47E29"/>
    <w:rPr>
      <w:sz w:val="20"/>
    </w:rPr>
  </w:style>
  <w:style w:type="paragraph" w:styleId="CommentSubject">
    <w:name w:val="annotation subject"/>
    <w:basedOn w:val="CommentText"/>
    <w:next w:val="CommentText"/>
    <w:semiHidden/>
    <w:rsid w:val="00F47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5400"/>
      </w:tabs>
      <w:suppressAutoHyphens/>
      <w:jc w:val="center"/>
      <w:outlineLvl w:val="0"/>
    </w:pPr>
    <w:rPr>
      <w:b/>
      <w:sz w:val="20"/>
    </w:rPr>
  </w:style>
  <w:style w:type="paragraph" w:styleId="Heading2">
    <w:name w:val="heading 2"/>
    <w:basedOn w:val="Normal"/>
    <w:next w:val="Normal"/>
    <w:qFormat/>
    <w:pPr>
      <w:keepNext/>
      <w:tabs>
        <w:tab w:val="center" w:pos="4680"/>
      </w:tabs>
      <w:suppressAutoHyphens/>
      <w:jc w:val="center"/>
      <w:outlineLvl w:val="1"/>
    </w:pPr>
    <w:rPr>
      <w:b/>
      <w:sz w:val="22"/>
    </w:rPr>
  </w:style>
  <w:style w:type="paragraph" w:styleId="Heading3">
    <w:name w:val="heading 3"/>
    <w:basedOn w:val="Normal"/>
    <w:next w:val="Normal"/>
    <w:qFormat/>
    <w:pPr>
      <w:keepNext/>
      <w:tabs>
        <w:tab w:val="left" w:pos="-720"/>
      </w:tabs>
      <w:suppressAutoHyphens/>
      <w:ind w:left="1080"/>
      <w:outlineLvl w:val="2"/>
    </w:pPr>
    <w:rPr>
      <w:b/>
      <w:sz w:val="20"/>
    </w:rPr>
  </w:style>
  <w:style w:type="paragraph" w:styleId="Heading4">
    <w:name w:val="heading 4"/>
    <w:basedOn w:val="Normal"/>
    <w:next w:val="Normal"/>
    <w:qFormat/>
    <w:pPr>
      <w:keepNext/>
      <w:tabs>
        <w:tab w:val="left" w:pos="990"/>
      </w:tabs>
      <w:suppressAutoHyphens/>
      <w:jc w:val="center"/>
      <w:outlineLvl w:val="3"/>
    </w:pPr>
    <w:rPr>
      <w:b/>
    </w:rPr>
  </w:style>
  <w:style w:type="paragraph" w:styleId="Heading5">
    <w:name w:val="heading 5"/>
    <w:basedOn w:val="Normal"/>
    <w:next w:val="Normal"/>
    <w:qFormat/>
    <w:pPr>
      <w:keepNext/>
      <w:outlineLvl w:val="4"/>
    </w:pPr>
    <w:rPr>
      <w:b/>
      <w:sz w:val="20"/>
    </w:rPr>
  </w:style>
  <w:style w:type="paragraph" w:styleId="Heading7">
    <w:name w:val="heading 7"/>
    <w:basedOn w:val="Normal"/>
    <w:next w:val="Normal"/>
    <w:qFormat/>
    <w:pPr>
      <w:keepNext/>
      <w:tabs>
        <w:tab w:val="left" w:pos="-720"/>
      </w:tabs>
      <w:suppressAutoHyphens/>
      <w:spacing w:before="90" w:after="54"/>
      <w:outlineLvl w:val="6"/>
    </w:pPr>
    <w:rPr>
      <w:b/>
      <w:sz w:val="16"/>
    </w:rPr>
  </w:style>
  <w:style w:type="paragraph" w:styleId="Heading8">
    <w:name w:val="heading 8"/>
    <w:basedOn w:val="Normal"/>
    <w:next w:val="Normal"/>
    <w:qFormat/>
    <w:pPr>
      <w:keepNext/>
      <w:pBdr>
        <w:bottom w:val="single" w:sz="6" w:space="1" w:color="auto"/>
      </w:pBdr>
      <w:tabs>
        <w:tab w:val="left" w:pos="-720"/>
      </w:tabs>
      <w:suppressAutoHyphens/>
      <w:jc w:val="center"/>
      <w:outlineLvl w:val="7"/>
    </w:pPr>
    <w:rPr>
      <w:b/>
      <w:sz w:val="16"/>
    </w:rPr>
  </w:style>
  <w:style w:type="paragraph" w:styleId="Heading9">
    <w:name w:val="heading 9"/>
    <w:basedOn w:val="Normal"/>
    <w:next w:val="Normal"/>
    <w:qFormat/>
    <w:pPr>
      <w:keepNext/>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rPr>
      <w:rFonts w:ascii="Lucida Sans Typewriter" w:hAnsi="Lucida Sans Typewriter"/>
      <w:sz w:val="20"/>
    </w:rPr>
  </w:style>
  <w:style w:type="paragraph" w:styleId="BodyTextIndent">
    <w:name w:val="Body Text Indent"/>
    <w:basedOn w:val="Normal"/>
    <w:pPr>
      <w:tabs>
        <w:tab w:val="left" w:pos="-720"/>
        <w:tab w:val="left" w:pos="0"/>
      </w:tabs>
      <w:suppressAutoHyphens/>
      <w:ind w:left="720" w:hanging="720"/>
    </w:pPr>
    <w:rPr>
      <w:sz w:val="20"/>
    </w:rPr>
  </w:style>
  <w:style w:type="paragraph" w:styleId="BodyTextIndent2">
    <w:name w:val="Body Text Indent 2"/>
    <w:basedOn w:val="Normal"/>
    <w:pPr>
      <w:tabs>
        <w:tab w:val="left" w:pos="-720"/>
      </w:tabs>
      <w:suppressAutoHyphens/>
      <w:ind w:left="1080"/>
    </w:pPr>
    <w:rPr>
      <w:sz w:val="20"/>
    </w:rPr>
  </w:style>
  <w:style w:type="paragraph" w:styleId="BodyText3">
    <w:name w:val="Body Text 3"/>
    <w:basedOn w:val="Normal"/>
    <w:pPr>
      <w:suppressAutoHyphens/>
    </w:pPr>
    <w:rPr>
      <w:sz w:val="18"/>
    </w:rPr>
  </w:style>
  <w:style w:type="paragraph" w:styleId="Title">
    <w:name w:val="Title"/>
    <w:basedOn w:val="Normal"/>
    <w:qFormat/>
    <w:pPr>
      <w:jc w:val="center"/>
    </w:pPr>
    <w:rPr>
      <w:rFonts w:ascii="Times New Roman" w:hAnsi="Times New Roman"/>
      <w:b/>
      <w:u w:val="single"/>
    </w:rPr>
  </w:style>
  <w:style w:type="paragraph" w:customStyle="1" w:styleId="Document1">
    <w:name w:val="Document 1"/>
    <w:pPr>
      <w:keepNext/>
      <w:keepLines/>
      <w:tabs>
        <w:tab w:val="left" w:pos="-720"/>
      </w:tabs>
      <w:suppressAutoHyphens/>
    </w:pPr>
    <w:rPr>
      <w:rFonts w:ascii="Lucida Sans Typewriter" w:hAnsi="Lucida Sans Typewriter"/>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s>
      <w:suppressAutoHyphens/>
    </w:pPr>
    <w:rPr>
      <w:sz w:val="16"/>
    </w:rPr>
  </w:style>
  <w:style w:type="paragraph" w:styleId="BodyText">
    <w:name w:val="Body Text"/>
    <w:basedOn w:val="Normal"/>
    <w:pPr>
      <w:tabs>
        <w:tab w:val="center" w:pos="5083"/>
      </w:tabs>
      <w:suppressAutoHyphens/>
    </w:pPr>
    <w:rPr>
      <w:sz w:val="18"/>
    </w:rPr>
  </w:style>
  <w:style w:type="paragraph" w:styleId="Header">
    <w:name w:val="header"/>
    <w:basedOn w:val="Normal"/>
    <w:pPr>
      <w:tabs>
        <w:tab w:val="center" w:pos="4320"/>
        <w:tab w:val="right" w:pos="8640"/>
      </w:tabs>
    </w:pPr>
    <w:rPr>
      <w:rFonts w:ascii="Lucida Sans Typewriter" w:hAnsi="Lucida Sans Typewriter"/>
      <w:sz w:val="20"/>
    </w:rPr>
  </w:style>
  <w:style w:type="paragraph" w:styleId="EndnoteText">
    <w:name w:val="endnote text"/>
    <w:basedOn w:val="Normal"/>
    <w:semiHidden/>
    <w:rPr>
      <w:rFonts w:ascii="Lucida Sans Typewriter" w:hAnsi="Lucida Sans Typewrite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0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55A6"/>
    <w:rPr>
      <w:rFonts w:ascii="Tahoma" w:hAnsi="Tahoma" w:cs="Tahoma"/>
      <w:sz w:val="16"/>
      <w:szCs w:val="16"/>
    </w:rPr>
  </w:style>
  <w:style w:type="character" w:styleId="CommentReference">
    <w:name w:val="annotation reference"/>
    <w:semiHidden/>
    <w:rsid w:val="00F47E29"/>
    <w:rPr>
      <w:sz w:val="16"/>
      <w:szCs w:val="16"/>
    </w:rPr>
  </w:style>
  <w:style w:type="paragraph" w:styleId="CommentText">
    <w:name w:val="annotation text"/>
    <w:basedOn w:val="Normal"/>
    <w:semiHidden/>
    <w:rsid w:val="00F47E29"/>
    <w:rPr>
      <w:sz w:val="20"/>
    </w:rPr>
  </w:style>
  <w:style w:type="paragraph" w:styleId="CommentSubject">
    <w:name w:val="annotation subject"/>
    <w:basedOn w:val="CommentText"/>
    <w:next w:val="CommentText"/>
    <w:semiHidden/>
    <w:rsid w:val="00F47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EA20194D.dotm</Template>
  <TotalTime>5</TotalTime>
  <Pages>3</Pages>
  <Words>1621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Rupe</dc:creator>
  <cp:lastModifiedBy>McCord, Julie</cp:lastModifiedBy>
  <cp:revision>3</cp:revision>
  <cp:lastPrinted>2015-03-21T15:32:00Z</cp:lastPrinted>
  <dcterms:created xsi:type="dcterms:W3CDTF">2015-03-21T15:31:00Z</dcterms:created>
  <dcterms:modified xsi:type="dcterms:W3CDTF">2015-03-21T15:35:00Z</dcterms:modified>
</cp:coreProperties>
</file>