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2252" w14:textId="3E014E0A" w:rsidR="00224D8B" w:rsidRDefault="00224D8B" w:rsidP="005E0A4D">
      <w:pPr>
        <w:autoSpaceDE w:val="0"/>
        <w:autoSpaceDN w:val="0"/>
        <w:adjustRightInd w:val="0"/>
        <w:rPr>
          <w:rFonts w:cs="Arial"/>
          <w:bCs/>
          <w:color w:val="000000" w:themeColor="text1"/>
          <w:szCs w:val="16"/>
        </w:rPr>
      </w:pPr>
    </w:p>
    <w:p w14:paraId="696C928A" w14:textId="77777777" w:rsidR="00A255FA" w:rsidRPr="000D7F9F" w:rsidRDefault="00A255FA" w:rsidP="000D7F9F">
      <w:pPr>
        <w:rPr>
          <w:b/>
          <w:bCs/>
          <w:sz w:val="18"/>
          <w:szCs w:val="18"/>
        </w:rPr>
      </w:pPr>
    </w:p>
    <w:p w14:paraId="0A547133" w14:textId="04FDD654" w:rsidR="00A14B29" w:rsidRPr="0035538B" w:rsidRDefault="00A255FA" w:rsidP="00A255FA">
      <w:pPr>
        <w:jc w:val="center"/>
        <w:rPr>
          <w:b/>
          <w:bCs/>
          <w:sz w:val="32"/>
          <w:szCs w:val="32"/>
        </w:rPr>
      </w:pPr>
      <w:r w:rsidRPr="0035538B">
        <w:rPr>
          <w:b/>
          <w:bCs/>
          <w:sz w:val="32"/>
          <w:szCs w:val="32"/>
        </w:rPr>
        <w:t>South Dakota</w:t>
      </w:r>
    </w:p>
    <w:p w14:paraId="4DD0EA3B" w14:textId="4D7C4353" w:rsidR="000135C2" w:rsidRPr="00824D00" w:rsidRDefault="000135C2" w:rsidP="000135C2">
      <w:pPr>
        <w:jc w:val="center"/>
        <w:rPr>
          <w:sz w:val="32"/>
          <w:szCs w:val="32"/>
        </w:rPr>
      </w:pPr>
      <w:r w:rsidRPr="00824D00">
        <w:rPr>
          <w:sz w:val="32"/>
          <w:szCs w:val="32"/>
        </w:rPr>
        <w:t>2024 Part C Results-Driven Accountability Matrix</w:t>
      </w:r>
    </w:p>
    <w:p w14:paraId="62B6A556" w14:textId="24D69987" w:rsidR="000135C2" w:rsidRPr="00210AC6" w:rsidRDefault="000135C2" w:rsidP="000135C2">
      <w:pPr>
        <w:rPr>
          <w:rFonts w:cs="Arial"/>
          <w:b/>
          <w:bCs/>
          <w:szCs w:val="16"/>
        </w:rPr>
      </w:pPr>
      <w:r w:rsidRPr="00210AC6">
        <w:rPr>
          <w:rFonts w:cs="Arial"/>
          <w:b/>
          <w:bCs/>
          <w:szCs w:val="16"/>
        </w:rPr>
        <w:t xml:space="preserve">Results-Driven Accountability Percentage and Determination </w:t>
      </w:r>
      <w:r w:rsidR="00976350" w:rsidRPr="00976350">
        <w:rPr>
          <w:rFonts w:cs="Arial"/>
          <w:szCs w:val="16"/>
        </w:rPr>
        <w:t>(1)</w:t>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6F64F1A1" w:rsidR="000135C2" w:rsidRPr="00210AC6" w:rsidRDefault="00720FA0" w:rsidP="00C452AB">
            <w:pPr>
              <w:rPr>
                <w:rFonts w:cs="Arial"/>
                <w:b/>
                <w:bCs/>
                <w:szCs w:val="16"/>
              </w:rPr>
            </w:pPr>
            <w:r>
              <w:rPr>
                <w:rFonts w:cs="Arial"/>
                <w:b/>
                <w:bCs/>
                <w:szCs w:val="16"/>
              </w:rPr>
              <w:t>Section</w:t>
            </w: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812358A" w:rsidR="000135C2" w:rsidRDefault="000135C2" w:rsidP="000135C2">
      <w:pPr>
        <w:rPr>
          <w:rFonts w:cs="Arial"/>
          <w:b/>
          <w:bCs/>
          <w:szCs w:val="16"/>
        </w:rPr>
      </w:pPr>
      <w:r w:rsidRPr="00210AC6">
        <w:rPr>
          <w:rFonts w:cs="Arial"/>
          <w:b/>
          <w:bCs/>
          <w:szCs w:val="16"/>
        </w:rPr>
        <w:t>2024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579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999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57.96</w:t>
            </w:r>
          </w:p>
        </w:tc>
      </w:tr>
      <w:tr w:rsidR="0025401C" w:rsidRPr="00210AC6" w14:paraId="35DCFD1D" w14:textId="77777777" w:rsidTr="0025401C">
        <w:trPr>
          <w:trHeight w:val="242"/>
        </w:trPr>
        <w:tc>
          <w:tcPr>
            <w:tcW w:w="3709" w:type="pct"/>
          </w:tcPr>
          <w:p w14:paraId="6B149A9B" w14:textId="57CC85C4" w:rsidR="0025401C" w:rsidRPr="00210AC6" w:rsidRDefault="0025401C" w:rsidP="00C452AB">
            <w:pPr>
              <w:rPr>
                <w:rFonts w:cs="Arial"/>
                <w:b/>
                <w:bCs/>
                <w:szCs w:val="16"/>
              </w:rPr>
            </w:pPr>
            <w:r w:rsidRPr="00083FA7">
              <w:rPr>
                <w:rFonts w:cs="Arial"/>
                <w:b/>
                <w:bCs/>
                <w:szCs w:val="16"/>
              </w:rPr>
              <w:t xml:space="preserve">Data Completeness Score </w:t>
            </w:r>
            <w:r w:rsidR="00976350" w:rsidRPr="009170B4">
              <w:rPr>
                <w:rFonts w:cs="Arial"/>
                <w:szCs w:val="16"/>
              </w:rPr>
              <w:t>(</w:t>
            </w:r>
            <w:r w:rsidR="00976350">
              <w:rPr>
                <w:szCs w:val="16"/>
              </w:rPr>
              <w:t>p</w:t>
            </w:r>
            <w:r w:rsidR="00976350" w:rsidRPr="001D4A43">
              <w:rPr>
                <w:szCs w:val="16"/>
              </w:rPr>
              <w:t>lease see Appendix A for a detailed description of this calculation</w:t>
            </w:r>
            <w:r w:rsidR="00976350">
              <w:rPr>
                <w:szCs w:val="16"/>
              </w:rPr>
              <w:t>)</w:t>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5C34931B" w:rsidR="006362E6" w:rsidRPr="00210AC6" w:rsidRDefault="006362E6" w:rsidP="005032AF">
            <w:pPr>
              <w:tabs>
                <w:tab w:val="left" w:pos="2580"/>
              </w:tabs>
              <w:rPr>
                <w:rFonts w:cs="Arial"/>
                <w:b/>
                <w:bCs/>
                <w:szCs w:val="16"/>
              </w:rPr>
            </w:pPr>
            <w:r w:rsidRPr="00083FA7">
              <w:rPr>
                <w:rFonts w:cs="Arial"/>
                <w:b/>
                <w:bCs/>
                <w:szCs w:val="16"/>
              </w:rPr>
              <w:t xml:space="preserve">Data Anomalies Score </w:t>
            </w:r>
            <w:r w:rsidR="00976350" w:rsidRPr="009170B4">
              <w:rPr>
                <w:rFonts w:cs="Arial"/>
                <w:szCs w:val="16"/>
              </w:rPr>
              <w:t>(</w:t>
            </w:r>
            <w:r w:rsidR="00976350">
              <w:rPr>
                <w:szCs w:val="16"/>
              </w:rPr>
              <w:t>p</w:t>
            </w:r>
            <w:r w:rsidR="00976350" w:rsidRPr="001D4A43">
              <w:rPr>
                <w:szCs w:val="16"/>
              </w:rPr>
              <w:t xml:space="preserve">lease see Appendix </w:t>
            </w:r>
            <w:r w:rsidR="00976350">
              <w:rPr>
                <w:szCs w:val="16"/>
              </w:rPr>
              <w:t>B</w:t>
            </w:r>
            <w:r w:rsidR="00976350" w:rsidRPr="001D4A43">
              <w:rPr>
                <w:szCs w:val="16"/>
              </w:rPr>
              <w:t xml:space="preserve"> for a detailed description of this calculation</w:t>
            </w:r>
            <w:r w:rsidR="00976350">
              <w:rPr>
                <w:szCs w:val="16"/>
              </w:rPr>
              <w:t>)</w:t>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2332C5FE" w:rsidR="000135C2" w:rsidRPr="00210AC6" w:rsidRDefault="007C3ED8" w:rsidP="007C3ED8">
      <w:pPr>
        <w:rPr>
          <w:rFonts w:cs="Arial"/>
          <w:b/>
          <w:bCs/>
          <w:szCs w:val="16"/>
        </w:rPr>
      </w:pPr>
      <w:r w:rsidRPr="007C3ED8">
        <w:rPr>
          <w:rFonts w:cs="Arial"/>
          <w:b/>
          <w:bCs/>
          <w:szCs w:val="16"/>
        </w:rPr>
        <w:t>(a) Data Comparison: Comparing your State’s 2022 Outcomes Data to other States’ 2022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67FC6A04" w:rsidR="007C3ED8" w:rsidRPr="00210AC6" w:rsidRDefault="007C3ED8" w:rsidP="00C452AB">
            <w:pPr>
              <w:rPr>
                <w:rFonts w:cs="Arial"/>
                <w:b/>
                <w:bCs/>
                <w:szCs w:val="16"/>
              </w:rPr>
            </w:pPr>
            <w:r w:rsidRPr="00083FA7">
              <w:rPr>
                <w:rFonts w:cs="Arial"/>
                <w:b/>
                <w:bCs/>
                <w:szCs w:val="16"/>
              </w:rPr>
              <w:t xml:space="preserve">Data Comparison Score </w:t>
            </w:r>
            <w:r w:rsidR="00976350" w:rsidRPr="00B02EBE">
              <w:rPr>
                <w:rFonts w:cs="Arial"/>
                <w:szCs w:val="16"/>
              </w:rPr>
              <w:t>(</w:t>
            </w:r>
            <w:r w:rsidR="00976350">
              <w:rPr>
                <w:szCs w:val="16"/>
              </w:rPr>
              <w:t>p</w:t>
            </w:r>
            <w:r w:rsidR="00976350" w:rsidRPr="001D4A43">
              <w:rPr>
                <w:szCs w:val="16"/>
              </w:rPr>
              <w:t xml:space="preserve">lease see Appendix </w:t>
            </w:r>
            <w:r w:rsidR="00976350">
              <w:rPr>
                <w:szCs w:val="16"/>
              </w:rPr>
              <w:t>C</w:t>
            </w:r>
            <w:r w:rsidR="00976350" w:rsidRPr="001D4A43">
              <w:rPr>
                <w:szCs w:val="16"/>
              </w:rPr>
              <w:t xml:space="preserve"> for a detailed description of this calculation</w:t>
            </w:r>
            <w:r w:rsidR="00976350">
              <w:rPr>
                <w:szCs w:val="16"/>
              </w:rPr>
              <w:t>)</w:t>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2204B6F4" w:rsidR="00E34D8D" w:rsidRDefault="00E34D8D" w:rsidP="00E34D8D">
      <w:pPr>
        <w:rPr>
          <w:rFonts w:cs="Arial"/>
          <w:b/>
          <w:bCs/>
          <w:szCs w:val="16"/>
        </w:rPr>
      </w:pPr>
      <w:r w:rsidRPr="00094EAD">
        <w:rPr>
          <w:rFonts w:cs="Arial"/>
          <w:b/>
          <w:bCs/>
          <w:szCs w:val="16"/>
        </w:rPr>
        <w:t>(b) Performance Change Over Time: Comparing your State’s FFY 2022 data to your State’s FFY 2021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597C1B48" w:rsidR="00E34D8D" w:rsidRPr="00210AC6" w:rsidRDefault="00E34D8D" w:rsidP="00087E4F">
            <w:pPr>
              <w:rPr>
                <w:rFonts w:cs="Arial"/>
                <w:b/>
                <w:bCs/>
                <w:szCs w:val="16"/>
              </w:rPr>
            </w:pPr>
            <w:r>
              <w:rPr>
                <w:rFonts w:cs="Arial"/>
                <w:b/>
                <w:bCs/>
                <w:szCs w:val="16"/>
              </w:rPr>
              <w:t xml:space="preserve">Performance Change Score </w:t>
            </w:r>
            <w:r w:rsidR="00976350" w:rsidRPr="00B02EBE">
              <w:rPr>
                <w:rFonts w:cs="Arial"/>
                <w:szCs w:val="16"/>
              </w:rPr>
              <w:t>(</w:t>
            </w:r>
            <w:r w:rsidR="00976350">
              <w:rPr>
                <w:szCs w:val="16"/>
              </w:rPr>
              <w:t>p</w:t>
            </w:r>
            <w:r w:rsidR="00976350" w:rsidRPr="001D4A43">
              <w:rPr>
                <w:szCs w:val="16"/>
              </w:rPr>
              <w:t xml:space="preserve">lease see Appendix </w:t>
            </w:r>
            <w:r w:rsidR="00976350">
              <w:rPr>
                <w:szCs w:val="16"/>
              </w:rPr>
              <w:t>D</w:t>
            </w:r>
            <w:r w:rsidR="00976350" w:rsidRPr="001D4A43">
              <w:rPr>
                <w:szCs w:val="16"/>
              </w:rPr>
              <w:t xml:space="preserve"> for a detailed description of this calculation</w:t>
            </w:r>
            <w:r w:rsidR="00976350">
              <w:rPr>
                <w:szCs w:val="16"/>
              </w:rPr>
              <w:t>)</w:t>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352BC3DB" w:rsidR="00174585" w:rsidRPr="00174585" w:rsidRDefault="00174585" w:rsidP="00174585">
            <w:pPr>
              <w:rPr>
                <w:rFonts w:cs="Arial"/>
                <w:b/>
                <w:bCs/>
                <w:szCs w:val="16"/>
              </w:rPr>
            </w:pPr>
            <w:r w:rsidRPr="00174585">
              <w:rPr>
                <w:b/>
                <w:bCs/>
              </w:rPr>
              <w:t>Outcome B: Knowledge and Skill</w:t>
            </w:r>
            <w:r w:rsidR="00691386">
              <w:rPr>
                <w:b/>
                <w:bCs/>
              </w:rPr>
              <w:t>s</w:t>
            </w:r>
            <w:r w:rsidR="00747E4D">
              <w:rPr>
                <w:b/>
                <w:bCs/>
              </w:rPr>
              <w:t xml:space="preserve"> </w:t>
            </w:r>
            <w:r w:rsidR="00691386">
              <w:rPr>
                <w:b/>
                <w:bCs/>
              </w:rPr>
              <w:t>SS1 (%)</w:t>
            </w:r>
          </w:p>
        </w:tc>
        <w:tc>
          <w:tcPr>
            <w:tcW w:w="714" w:type="pct"/>
          </w:tcPr>
          <w:p w14:paraId="76C98EFE" w14:textId="6B058B9D" w:rsidR="00174585" w:rsidRPr="00174585" w:rsidRDefault="00691386" w:rsidP="00174585">
            <w:pPr>
              <w:rPr>
                <w:rFonts w:cs="Arial"/>
                <w:b/>
                <w:bCs/>
                <w:szCs w:val="16"/>
              </w:rPr>
            </w:pPr>
            <w:r>
              <w:rPr>
                <w:b/>
                <w:bCs/>
              </w:rPr>
              <w:t>Outcome B: Knowledge and Skills</w:t>
            </w:r>
            <w:r w:rsidR="00747E4D">
              <w:rPr>
                <w:b/>
                <w:bCs/>
              </w:rPr>
              <w:t xml:space="preserve"> </w:t>
            </w:r>
            <w:r>
              <w:rPr>
                <w:rFonts w:cs="Arial"/>
                <w:b/>
                <w:bCs/>
                <w:szCs w:val="16"/>
              </w:rPr>
              <w:t>SS2 (%)</w:t>
            </w:r>
          </w:p>
        </w:tc>
        <w:tc>
          <w:tcPr>
            <w:tcW w:w="714" w:type="pct"/>
          </w:tcPr>
          <w:p w14:paraId="039A9FF7" w14:textId="4EC9E4D2" w:rsidR="00174585" w:rsidRPr="00174585" w:rsidRDefault="00174585" w:rsidP="00174585">
            <w:pPr>
              <w:rPr>
                <w:rFonts w:cs="Arial"/>
                <w:b/>
                <w:bCs/>
                <w:szCs w:val="16"/>
              </w:rPr>
            </w:pPr>
            <w:r w:rsidRPr="00174585">
              <w:rPr>
                <w:b/>
                <w:bCs/>
              </w:rPr>
              <w:t>Outcome C: Actions to Meet Needs SS1 (%)</w:t>
            </w:r>
          </w:p>
        </w:tc>
        <w:tc>
          <w:tcPr>
            <w:tcW w:w="713" w:type="pct"/>
          </w:tcPr>
          <w:p w14:paraId="5DF76C45" w14:textId="325C1D96" w:rsidR="00174585" w:rsidRPr="00174585" w:rsidRDefault="00174585" w:rsidP="00174585">
            <w:pPr>
              <w:rPr>
                <w:rFonts w:cs="Arial"/>
                <w:b/>
                <w:bCs/>
                <w:szCs w:val="16"/>
              </w:rPr>
            </w:pPr>
            <w:r w:rsidRPr="00174585">
              <w:rPr>
                <w:b/>
                <w:bCs/>
              </w:rPr>
              <w:t>Outcome C: Actions to Meet Needs</w:t>
            </w:r>
            <w:r w:rsidR="00747E4D">
              <w:rPr>
                <w:b/>
                <w:bCs/>
              </w:rPr>
              <w:t xml:space="preserve"> </w:t>
            </w:r>
            <w:r w:rsidRPr="00174585">
              <w:rPr>
                <w:b/>
                <w:bCs/>
              </w:rPr>
              <w:t>SS2 (%)</w:t>
            </w:r>
          </w:p>
        </w:tc>
      </w:tr>
      <w:tr w:rsidR="00B03B19" w:rsidRPr="00210AC6" w14:paraId="7236D15C" w14:textId="77777777" w:rsidTr="00B03B19">
        <w:tc>
          <w:tcPr>
            <w:tcW w:w="715" w:type="pct"/>
          </w:tcPr>
          <w:p w14:paraId="69BEB1D2" w14:textId="4A1F3C88" w:rsidR="00B03B19" w:rsidRPr="00A96CE2" w:rsidRDefault="00B03B19" w:rsidP="00B03B19">
            <w:pPr>
              <w:rPr>
                <w:rFonts w:cs="Arial"/>
                <w:b/>
                <w:bCs/>
                <w:szCs w:val="16"/>
              </w:rPr>
            </w:pPr>
            <w:r w:rsidRPr="00A96CE2">
              <w:rPr>
                <w:b/>
                <w:bCs/>
              </w:rPr>
              <w:t xml:space="preserve">FFY 2022 </w:t>
            </w:r>
          </w:p>
        </w:tc>
        <w:tc>
          <w:tcPr>
            <w:tcW w:w="715" w:type="pct"/>
          </w:tcPr>
          <w:p w14:paraId="6EA65C2C" w14:textId="7C1F88CF" w:rsidR="00B03B19" w:rsidRPr="00210AC6" w:rsidRDefault="00B03B19" w:rsidP="00B03B19">
            <w:pPr>
              <w:rPr>
                <w:rFonts w:cs="Arial"/>
                <w:szCs w:val="16"/>
              </w:rPr>
            </w:pPr>
            <w:r w:rsidRPr="00A46401">
              <w:t>45.83%</w:t>
            </w:r>
          </w:p>
        </w:tc>
        <w:tc>
          <w:tcPr>
            <w:tcW w:w="715" w:type="pct"/>
          </w:tcPr>
          <w:p w14:paraId="542CEEB9" w14:textId="37E21014" w:rsidR="00B03B19" w:rsidRPr="00210AC6" w:rsidRDefault="00B03B19" w:rsidP="00B03B19">
            <w:pPr>
              <w:rPr>
                <w:rFonts w:cs="Arial"/>
                <w:szCs w:val="16"/>
              </w:rPr>
            </w:pPr>
            <w:r w:rsidRPr="00A46401">
              <w:t>76.17%</w:t>
            </w:r>
          </w:p>
        </w:tc>
        <w:tc>
          <w:tcPr>
            <w:tcW w:w="714" w:type="pct"/>
          </w:tcPr>
          <w:p w14:paraId="082867DD" w14:textId="7F23B051" w:rsidR="00B03B19" w:rsidRPr="00210AC6" w:rsidRDefault="00B03B19" w:rsidP="00B03B19">
            <w:pPr>
              <w:rPr>
                <w:rFonts w:cs="Arial"/>
                <w:szCs w:val="16"/>
              </w:rPr>
            </w:pPr>
            <w:r w:rsidRPr="00A46401">
              <w:t>76.94%</w:t>
            </w:r>
          </w:p>
        </w:tc>
        <w:tc>
          <w:tcPr>
            <w:tcW w:w="714" w:type="pct"/>
          </w:tcPr>
          <w:p w14:paraId="798EA0C8" w14:textId="2776FB61" w:rsidR="00B03B19" w:rsidRPr="00210AC6" w:rsidRDefault="00B03B19" w:rsidP="00B03B19">
            <w:pPr>
              <w:rPr>
                <w:rFonts w:cs="Arial"/>
                <w:szCs w:val="16"/>
              </w:rPr>
            </w:pPr>
            <w:r w:rsidRPr="00A46401">
              <w:t>61.14%</w:t>
            </w:r>
          </w:p>
        </w:tc>
        <w:tc>
          <w:tcPr>
            <w:tcW w:w="714" w:type="pct"/>
          </w:tcPr>
          <w:p w14:paraId="53B8C0FF" w14:textId="1ABA1A1C" w:rsidR="00B03B19" w:rsidRPr="00210AC6" w:rsidRDefault="00B03B19" w:rsidP="00B03B19">
            <w:pPr>
              <w:rPr>
                <w:rFonts w:cs="Arial"/>
                <w:szCs w:val="16"/>
              </w:rPr>
            </w:pPr>
            <w:r w:rsidRPr="00A46401">
              <w:t>84.15%</w:t>
            </w:r>
          </w:p>
        </w:tc>
        <w:tc>
          <w:tcPr>
            <w:tcW w:w="713" w:type="pct"/>
          </w:tcPr>
          <w:p w14:paraId="71D0CC34" w14:textId="38E23520" w:rsidR="00B03B19" w:rsidRPr="00210AC6" w:rsidRDefault="00B03B19" w:rsidP="00B03B19">
            <w:pPr>
              <w:rPr>
                <w:rFonts w:cs="Arial"/>
                <w:szCs w:val="16"/>
              </w:rPr>
            </w:pPr>
            <w:r w:rsidRPr="00A46401">
              <w:t>71.50%</w:t>
            </w:r>
          </w:p>
        </w:tc>
      </w:tr>
      <w:tr w:rsidR="00A96CE2" w:rsidRPr="00210AC6" w14:paraId="135D1E67" w14:textId="77777777" w:rsidTr="00B03B19">
        <w:tc>
          <w:tcPr>
            <w:tcW w:w="715" w:type="pct"/>
          </w:tcPr>
          <w:p w14:paraId="69E847AA" w14:textId="2B61FD82" w:rsidR="00A96CE2" w:rsidRPr="00A96CE2" w:rsidRDefault="00A96CE2" w:rsidP="00A96CE2">
            <w:pPr>
              <w:rPr>
                <w:rFonts w:cs="Arial"/>
                <w:b/>
                <w:bCs/>
                <w:szCs w:val="16"/>
              </w:rPr>
            </w:pPr>
            <w:r w:rsidRPr="00A96CE2">
              <w:rPr>
                <w:b/>
                <w:bCs/>
              </w:rPr>
              <w:t xml:space="preserve">FFY 2021 </w:t>
            </w:r>
          </w:p>
        </w:tc>
        <w:tc>
          <w:tcPr>
            <w:tcW w:w="715" w:type="pct"/>
          </w:tcPr>
          <w:p w14:paraId="0F12421E" w14:textId="435DC4F0" w:rsidR="00A96CE2" w:rsidRPr="00210AC6" w:rsidRDefault="00A96CE2" w:rsidP="00A96CE2">
            <w:pPr>
              <w:rPr>
                <w:rFonts w:cs="Arial"/>
                <w:szCs w:val="16"/>
              </w:rPr>
            </w:pPr>
            <w:r w:rsidRPr="00902025">
              <w:t>38.63%</w:t>
            </w:r>
          </w:p>
        </w:tc>
        <w:tc>
          <w:tcPr>
            <w:tcW w:w="715" w:type="pct"/>
          </w:tcPr>
          <w:p w14:paraId="4A7F27F4" w14:textId="16E8DAC9" w:rsidR="00A96CE2" w:rsidRPr="00210AC6" w:rsidRDefault="00A96CE2" w:rsidP="00A96CE2">
            <w:pPr>
              <w:rPr>
                <w:rFonts w:cs="Arial"/>
                <w:szCs w:val="16"/>
              </w:rPr>
            </w:pPr>
            <w:r w:rsidRPr="00902025">
              <w:t>71.35%</w:t>
            </w:r>
          </w:p>
        </w:tc>
        <w:tc>
          <w:tcPr>
            <w:tcW w:w="714" w:type="pct"/>
          </w:tcPr>
          <w:p w14:paraId="0B2C982E" w14:textId="60B64CC6" w:rsidR="00A96CE2" w:rsidRPr="00210AC6" w:rsidRDefault="00A96CE2" w:rsidP="00A96CE2">
            <w:pPr>
              <w:rPr>
                <w:rFonts w:cs="Arial"/>
                <w:szCs w:val="16"/>
              </w:rPr>
            </w:pPr>
            <w:r w:rsidRPr="00902025">
              <w:t>74.16%</w:t>
            </w:r>
          </w:p>
        </w:tc>
        <w:tc>
          <w:tcPr>
            <w:tcW w:w="714" w:type="pct"/>
          </w:tcPr>
          <w:p w14:paraId="48D6DCB3" w14:textId="035BCB73" w:rsidR="00A96CE2" w:rsidRPr="00210AC6" w:rsidRDefault="00A96CE2" w:rsidP="00A96CE2">
            <w:pPr>
              <w:rPr>
                <w:rFonts w:cs="Arial"/>
                <w:szCs w:val="16"/>
              </w:rPr>
            </w:pPr>
            <w:r w:rsidRPr="00902025">
              <w:t>57.30%</w:t>
            </w:r>
          </w:p>
        </w:tc>
        <w:tc>
          <w:tcPr>
            <w:tcW w:w="714" w:type="pct"/>
          </w:tcPr>
          <w:p w14:paraId="75DD9D82" w14:textId="41901A3C" w:rsidR="00A96CE2" w:rsidRPr="00210AC6" w:rsidRDefault="00A96CE2" w:rsidP="00A96CE2">
            <w:pPr>
              <w:rPr>
                <w:rFonts w:cs="Arial"/>
                <w:szCs w:val="16"/>
              </w:rPr>
            </w:pPr>
            <w:r w:rsidRPr="00902025">
              <w:t>88.76%</w:t>
            </w:r>
          </w:p>
        </w:tc>
        <w:tc>
          <w:tcPr>
            <w:tcW w:w="713" w:type="pct"/>
          </w:tcPr>
          <w:p w14:paraId="51F0864D" w14:textId="7593AA05" w:rsidR="00A96CE2" w:rsidRPr="00210AC6" w:rsidRDefault="00A96CE2" w:rsidP="00A96CE2">
            <w:pPr>
              <w:rPr>
                <w:rFonts w:cs="Arial"/>
                <w:szCs w:val="16"/>
              </w:rPr>
            </w:pPr>
            <w:r w:rsidRPr="00902025">
              <w:t>77.82%</w:t>
            </w:r>
          </w:p>
        </w:tc>
      </w:tr>
    </w:tbl>
    <w:p w14:paraId="3193F46C" w14:textId="77777777" w:rsidR="004A7ECD" w:rsidRDefault="004A7ECD" w:rsidP="000135C2">
      <w:pPr>
        <w:rPr>
          <w:rFonts w:cs="Arial"/>
          <w:b/>
          <w:bCs/>
          <w:szCs w:val="16"/>
        </w:rPr>
      </w:pPr>
    </w:p>
    <w:p w14:paraId="74389200" w14:textId="276077B0" w:rsidR="004A7ECD" w:rsidRPr="00D731C8" w:rsidRDefault="00976350">
      <w:pPr>
        <w:spacing w:before="0" w:after="200" w:line="276" w:lineRule="auto"/>
        <w:rPr>
          <w:rFonts w:cs="Arial"/>
          <w:b/>
          <w:bCs/>
          <w:szCs w:val="16"/>
        </w:rPr>
      </w:pPr>
      <w:r w:rsidRPr="00D731C8">
        <w:rPr>
          <w:b/>
          <w:bCs/>
          <w:szCs w:val="16"/>
        </w:rPr>
        <w:t xml:space="preserve">(1) For a detailed explanation of how the Compliance Score, Results Score, and the Results-Driven Accountability Percentage and Determination </w:t>
      </w:r>
      <w:proofErr w:type="gramStart"/>
      <w:r w:rsidRPr="00D731C8">
        <w:rPr>
          <w:b/>
          <w:bCs/>
          <w:szCs w:val="16"/>
        </w:rPr>
        <w:t>were</w:t>
      </w:r>
      <w:proofErr w:type="gramEnd"/>
      <w:r w:rsidRPr="00D731C8">
        <w:rPr>
          <w:b/>
          <w:bCs/>
          <w:szCs w:val="16"/>
        </w:rPr>
        <w:t xml:space="preserve"> calculated, review "How the Department Made Determinations under Section 616(d) of the </w:t>
      </w:r>
      <w:r w:rsidRPr="00D731C8">
        <w:rPr>
          <w:b/>
          <w:bCs/>
          <w:i/>
          <w:szCs w:val="16"/>
        </w:rPr>
        <w:t>Individuals with Disabilities Education Act</w:t>
      </w:r>
      <w:r w:rsidRPr="00D731C8">
        <w:rPr>
          <w:b/>
          <w:bCs/>
          <w:szCs w:val="16"/>
        </w:rPr>
        <w:t xml:space="preserve"> in 2024: Part </w:t>
      </w:r>
      <w:r w:rsidR="00AB65CA">
        <w:rPr>
          <w:b/>
          <w:bCs/>
          <w:szCs w:val="16"/>
        </w:rPr>
        <w:t>C</w:t>
      </w:r>
      <w:r w:rsidRPr="00D731C8">
        <w:rPr>
          <w:b/>
          <w:bCs/>
          <w:szCs w:val="16"/>
        </w:rPr>
        <w:t>."</w:t>
      </w:r>
      <w:r w:rsidR="004A7ECD" w:rsidRPr="00D731C8">
        <w:rPr>
          <w:rFonts w:cs="Arial"/>
          <w:b/>
          <w:bCs/>
          <w:szCs w:val="16"/>
        </w:rPr>
        <w:br w:type="page"/>
      </w:r>
    </w:p>
    <w:p w14:paraId="250C6640" w14:textId="711AA564" w:rsidR="00A14B29" w:rsidRPr="00210AC6" w:rsidRDefault="000135C2" w:rsidP="000135C2">
      <w:pPr>
        <w:rPr>
          <w:rFonts w:cs="Arial"/>
          <w:b/>
          <w:bCs/>
          <w:szCs w:val="16"/>
        </w:rPr>
      </w:pPr>
      <w:r w:rsidRPr="00210AC6">
        <w:rPr>
          <w:rFonts w:cs="Arial"/>
          <w:b/>
          <w:bCs/>
          <w:szCs w:val="16"/>
        </w:rPr>
        <w:lastRenderedPageBreak/>
        <w:t>2024 Part C Compliance Matrix</w:t>
      </w: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092F6E5A" w:rsidR="000135C2" w:rsidRPr="00210AC6" w:rsidRDefault="000135C2" w:rsidP="00C452AB">
            <w:pPr>
              <w:rPr>
                <w:rFonts w:cs="Arial"/>
                <w:b/>
                <w:bCs/>
                <w:szCs w:val="16"/>
              </w:rPr>
            </w:pPr>
            <w:r w:rsidRPr="00210AC6">
              <w:rPr>
                <w:rFonts w:cs="Arial"/>
                <w:b/>
                <w:bCs/>
                <w:szCs w:val="16"/>
              </w:rPr>
              <w:t xml:space="preserve">Part C Compliance Indicator </w:t>
            </w:r>
            <w:r w:rsidR="00976350">
              <w:rPr>
                <w:rFonts w:cs="Arial"/>
                <w:szCs w:val="16"/>
              </w:rPr>
              <w:t>(2)</w:t>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A79808D" w:rsidR="000135C2" w:rsidRPr="00210AC6" w:rsidRDefault="000135C2" w:rsidP="00C452AB">
            <w:pPr>
              <w:rPr>
                <w:rFonts w:cs="Arial"/>
                <w:b/>
                <w:bCs/>
                <w:szCs w:val="16"/>
              </w:rPr>
            </w:pPr>
            <w:r w:rsidRPr="00210AC6">
              <w:rPr>
                <w:rFonts w:cs="Arial"/>
                <w:b/>
                <w:bCs/>
                <w:szCs w:val="16"/>
              </w:rPr>
              <w:t xml:space="preserve">Full Correction of Findings of Noncompliance Identified in FFY 2021 </w:t>
            </w:r>
            <w:r w:rsidR="00976350">
              <w:rPr>
                <w:rFonts w:cs="Arial"/>
                <w:szCs w:val="16"/>
              </w:rPr>
              <w:t>(3)</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100.00%</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687D466E" w:rsidR="00D37150" w:rsidRPr="00744585" w:rsidRDefault="00A1023C" w:rsidP="00CC7B98">
            <w:pPr>
              <w:ind w:left="720"/>
              <w:rPr>
                <w:rFonts w:cs="Arial"/>
                <w:b/>
                <w:bCs/>
                <w:szCs w:val="16"/>
              </w:rPr>
            </w:pPr>
            <w:r>
              <w:rPr>
                <w:b/>
                <w:bCs/>
              </w:rPr>
              <w:t xml:space="preserve">Programmatic </w:t>
            </w:r>
            <w:r w:rsidR="00D37150"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572A5488" w14:textId="6AAF7234" w:rsidR="00976350" w:rsidRPr="00D731C8" w:rsidRDefault="00976350" w:rsidP="00D731C8">
      <w:pPr>
        <w:spacing w:after="120"/>
        <w:rPr>
          <w:b/>
          <w:color w:val="0000FF" w:themeColor="hyperlink"/>
          <w:szCs w:val="16"/>
          <w:u w:val="single"/>
        </w:rPr>
      </w:pPr>
      <w:r w:rsidRPr="00D731C8">
        <w:rPr>
          <w:rFonts w:cs="Arial"/>
          <w:b/>
          <w:szCs w:val="16"/>
        </w:rPr>
        <w:t xml:space="preserve">(2) </w:t>
      </w:r>
      <w:r w:rsidRPr="00D731C8">
        <w:rPr>
          <w:b/>
          <w:szCs w:val="16"/>
        </w:rPr>
        <w:t xml:space="preserve">The complete language for each indicator is located in the Part </w:t>
      </w:r>
      <w:r w:rsidR="00B37A83">
        <w:rPr>
          <w:b/>
          <w:szCs w:val="16"/>
        </w:rPr>
        <w:t>C</w:t>
      </w:r>
      <w:r w:rsidR="00B37A83" w:rsidRPr="00D731C8">
        <w:rPr>
          <w:b/>
          <w:szCs w:val="16"/>
        </w:rPr>
        <w:t xml:space="preserve"> </w:t>
      </w:r>
      <w:r w:rsidRPr="00D731C8">
        <w:rPr>
          <w:b/>
          <w:szCs w:val="16"/>
        </w:rPr>
        <w:t xml:space="preserve">SPP/APR Indicator Measurement Table at: </w:t>
      </w:r>
      <w:hyperlink w:history="1"/>
      <w:hyperlink r:id="rId11" w:history="1">
        <w:r w:rsidR="00B37A83" w:rsidRPr="00B37A83">
          <w:rPr>
            <w:rStyle w:val="Hyperlink"/>
            <w:b/>
            <w:szCs w:val="16"/>
          </w:rPr>
          <w:t>https://sites.ed.gov/idea/files/2024_Part-C_SPP-APR_Measurement_Table.pdf</w:t>
        </w:r>
      </w:hyperlink>
    </w:p>
    <w:p w14:paraId="429CF3AA" w14:textId="65FC6FD7" w:rsidR="002D7557" w:rsidRPr="00B37A83" w:rsidRDefault="00976350" w:rsidP="00B37A83">
      <w:pPr>
        <w:spacing w:after="120"/>
      </w:pPr>
      <w:r w:rsidRPr="00D731C8">
        <w:rPr>
          <w:rFonts w:cs="Arial"/>
          <w:b/>
          <w:szCs w:val="16"/>
        </w:rPr>
        <w:t xml:space="preserve">(3) </w:t>
      </w:r>
      <w:r w:rsidRPr="00D731C8">
        <w:rPr>
          <w:b/>
        </w:rPr>
        <w:t>This column reflects full correction, which is factored into the scoring only when the compliance data are &gt;=90% and &lt;95% for an indicator.</w:t>
      </w:r>
      <w:r w:rsidR="002D7557">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04ECDD7A" w:rsidR="0081611B" w:rsidRPr="0081611B" w:rsidRDefault="0081611B" w:rsidP="0081611B">
      <w:pPr>
        <w:rPr>
          <w:rFonts w:cs="Arial"/>
          <w:b/>
          <w:bCs/>
          <w:szCs w:val="16"/>
        </w:rPr>
      </w:pPr>
      <w:r w:rsidRPr="0081611B">
        <w:rPr>
          <w:rFonts w:cs="Arial"/>
          <w:b/>
          <w:bCs/>
          <w:szCs w:val="16"/>
        </w:rPr>
        <w:t>The Percent of Children Included in your State's 2022 Outcomes Data (Indicator C3)</w:t>
      </w:r>
    </w:p>
    <w:p w14:paraId="31CE677D" w14:textId="41C16692"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2022 Outcomes Data (C3) and the total number of children your State reported in its FFY 2022 IDEA Section 618 data. A percentage for your State was computed by dividing the number of children reported in your State’s Indicator C3 data by the number of children your State reported exited during FFY 2022 in the State’s FFY 2022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3388C954" w:rsidR="002F672B" w:rsidRPr="002F672B" w:rsidRDefault="002F672B" w:rsidP="002F672B">
      <w:pPr>
        <w:rPr>
          <w:rFonts w:cs="Arial"/>
          <w:b/>
          <w:bCs/>
          <w:szCs w:val="16"/>
        </w:rPr>
      </w:pPr>
      <w:r w:rsidRPr="002F672B">
        <w:rPr>
          <w:rFonts w:cs="Arial"/>
          <w:b/>
          <w:bCs/>
          <w:szCs w:val="16"/>
        </w:rPr>
        <w:t>Anomalies in Your State's FFY 2022 Outcomes Data</w:t>
      </w:r>
    </w:p>
    <w:p w14:paraId="6203EEBD" w14:textId="262F74DF" w:rsidR="002F672B" w:rsidRPr="00A67CEE" w:rsidRDefault="002F672B" w:rsidP="002F672B">
      <w:pPr>
        <w:rPr>
          <w:rFonts w:cs="Arial"/>
          <w:bCs/>
          <w:szCs w:val="16"/>
        </w:rPr>
      </w:pPr>
      <w:r w:rsidRPr="00A67CEE">
        <w:rPr>
          <w:rFonts w:cs="Arial"/>
          <w:bCs/>
          <w:szCs w:val="16"/>
        </w:rPr>
        <w:t xml:space="preserve">This score represents a summary of the data anomalies in the FFY 2022 Indicator 3 Outcomes Data reported by your State. Publicly available data for the preceding four years reported by and across all States for each of 15 progress categories under Indicator 3 (in the FFY 2018 – FFY 2021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 (numbers are shown as rounded for display purposes, and values are based on data for States with summary statement denominator greater than 199 </w:t>
      </w:r>
      <w:proofErr w:type="spellStart"/>
      <w:r w:rsidRPr="00A67CEE">
        <w:rPr>
          <w:rFonts w:cs="Arial"/>
          <w:bCs/>
          <w:szCs w:val="16"/>
        </w:rPr>
        <w:t>exiters</w:t>
      </w:r>
      <w:proofErr w:type="spellEnd"/>
      <w:r w:rsidRPr="00A67CEE">
        <w:rPr>
          <w:rFonts w:cs="Arial"/>
          <w:bCs/>
          <w:szCs w:val="16"/>
        </w:rPr>
        <w:t>). In any case where the low scoring percentage set from 1 or 2 standard deviations below the mean resulted in a negative number, the low scoring percentage is equal to 0.</w:t>
      </w:r>
    </w:p>
    <w:p w14:paraId="4BEAA1D3" w14:textId="0837E19B" w:rsidR="002F672B" w:rsidRDefault="002F672B" w:rsidP="002F672B">
      <w:pPr>
        <w:rPr>
          <w:rFonts w:cs="Arial"/>
          <w:bCs/>
          <w:szCs w:val="16"/>
        </w:rPr>
      </w:pPr>
      <w:r w:rsidRPr="00A67CEE">
        <w:rPr>
          <w:rFonts w:cs="Arial"/>
          <w:bCs/>
          <w:szCs w:val="16"/>
        </w:rPr>
        <w:t xml:space="preserve">If your State's FFY 2022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62D6BABE" w:rsidR="002F672B" w:rsidRPr="002F672B" w:rsidRDefault="002F672B" w:rsidP="002F672B">
      <w:pPr>
        <w:rPr>
          <w:rFonts w:cs="Arial"/>
          <w:b/>
          <w:bCs/>
          <w:szCs w:val="16"/>
        </w:rPr>
      </w:pPr>
      <w:r w:rsidRPr="002F672B">
        <w:rPr>
          <w:rFonts w:cs="Arial"/>
          <w:b/>
          <w:bCs/>
          <w:szCs w:val="16"/>
        </w:rPr>
        <w:t>Expected Range of Responses for Each Outcome and Category, FFY 2022</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E415ED">
            <w:pPr>
              <w:jc w:val="cente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E415ED">
            <w:pPr>
              <w:jc w:val="cente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E415ED">
            <w:pPr>
              <w:jc w:val="cente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E415ED">
            <w:pPr>
              <w:jc w:val="center"/>
              <w:rPr>
                <w:rFonts w:cs="Arial"/>
                <w:b/>
                <w:bCs/>
                <w:szCs w:val="16"/>
              </w:rPr>
            </w:pPr>
            <w:r w:rsidRPr="002F672B">
              <w:rPr>
                <w:rFonts w:cs="Arial"/>
                <w:b/>
                <w:bCs/>
                <w:szCs w:val="16"/>
              </w:rPr>
              <w:t>+1SD</w:t>
            </w:r>
          </w:p>
        </w:tc>
      </w:tr>
      <w:tr w:rsidR="00AB65CA" w:rsidRPr="002F672B" w14:paraId="29B2661E" w14:textId="77777777" w:rsidTr="00E415ED">
        <w:tc>
          <w:tcPr>
            <w:tcW w:w="1334" w:type="pct"/>
            <w:noWrap/>
            <w:hideMark/>
          </w:tcPr>
          <w:p w14:paraId="535F6758" w14:textId="77777777" w:rsidR="00AB65CA" w:rsidRPr="002F672B" w:rsidRDefault="00AB65CA" w:rsidP="00AB65CA">
            <w:pPr>
              <w:rPr>
                <w:rFonts w:cs="Arial"/>
                <w:b/>
                <w:bCs/>
                <w:szCs w:val="16"/>
              </w:rPr>
            </w:pPr>
            <w:r w:rsidRPr="002F672B">
              <w:rPr>
                <w:rFonts w:cs="Arial"/>
                <w:b/>
                <w:bCs/>
                <w:szCs w:val="16"/>
              </w:rPr>
              <w:t>Outcome A\Category a</w:t>
            </w:r>
          </w:p>
        </w:tc>
        <w:tc>
          <w:tcPr>
            <w:tcW w:w="914" w:type="pct"/>
            <w:noWrap/>
            <w:vAlign w:val="bottom"/>
          </w:tcPr>
          <w:p w14:paraId="0E0C6DFE" w14:textId="6F690D46" w:rsidR="00AB65CA" w:rsidRPr="00AB65CA" w:rsidRDefault="00AB65CA" w:rsidP="00AB65CA">
            <w:pPr>
              <w:jc w:val="center"/>
              <w:rPr>
                <w:rFonts w:cs="Arial"/>
                <w:b/>
                <w:szCs w:val="16"/>
              </w:rPr>
            </w:pPr>
            <w:r w:rsidRPr="00AB65CA">
              <w:rPr>
                <w:rFonts w:cs="Arial"/>
                <w:color w:val="000000"/>
                <w:szCs w:val="16"/>
              </w:rPr>
              <w:t>1.57</w:t>
            </w:r>
          </w:p>
        </w:tc>
        <w:tc>
          <w:tcPr>
            <w:tcW w:w="921" w:type="pct"/>
            <w:noWrap/>
            <w:vAlign w:val="bottom"/>
          </w:tcPr>
          <w:p w14:paraId="0DE466A5" w14:textId="2C2F3B6E" w:rsidR="00AB65CA" w:rsidRPr="00AB65CA" w:rsidRDefault="00AB65CA" w:rsidP="00AB65CA">
            <w:pPr>
              <w:jc w:val="center"/>
              <w:rPr>
                <w:rFonts w:cs="Arial"/>
                <w:b/>
                <w:szCs w:val="16"/>
              </w:rPr>
            </w:pPr>
            <w:r w:rsidRPr="00AB65CA">
              <w:rPr>
                <w:rFonts w:cs="Arial"/>
                <w:color w:val="000000"/>
                <w:szCs w:val="16"/>
              </w:rPr>
              <w:t>3.26</w:t>
            </w:r>
          </w:p>
        </w:tc>
        <w:tc>
          <w:tcPr>
            <w:tcW w:w="919" w:type="pct"/>
            <w:noWrap/>
            <w:vAlign w:val="bottom"/>
          </w:tcPr>
          <w:p w14:paraId="0E42725B" w14:textId="2B07AE53" w:rsidR="00AB65CA" w:rsidRPr="00AB65CA" w:rsidRDefault="00AB65CA" w:rsidP="00AB65CA">
            <w:pPr>
              <w:jc w:val="center"/>
              <w:rPr>
                <w:rFonts w:cs="Arial"/>
                <w:b/>
                <w:szCs w:val="16"/>
              </w:rPr>
            </w:pPr>
            <w:r w:rsidRPr="00AB65CA">
              <w:rPr>
                <w:rFonts w:cs="Arial"/>
                <w:color w:val="000000"/>
                <w:szCs w:val="16"/>
              </w:rPr>
              <w:t>-1.69</w:t>
            </w:r>
          </w:p>
        </w:tc>
        <w:tc>
          <w:tcPr>
            <w:tcW w:w="912" w:type="pct"/>
            <w:noWrap/>
            <w:vAlign w:val="bottom"/>
          </w:tcPr>
          <w:p w14:paraId="2629B931" w14:textId="60B764F1" w:rsidR="00AB65CA" w:rsidRPr="00AB65CA" w:rsidRDefault="00AB65CA" w:rsidP="00AB65CA">
            <w:pPr>
              <w:jc w:val="center"/>
              <w:rPr>
                <w:rFonts w:cs="Arial"/>
                <w:b/>
                <w:szCs w:val="16"/>
              </w:rPr>
            </w:pPr>
            <w:r w:rsidRPr="00AB65CA">
              <w:rPr>
                <w:rFonts w:cs="Arial"/>
                <w:color w:val="000000"/>
                <w:szCs w:val="16"/>
              </w:rPr>
              <w:t>4.83</w:t>
            </w:r>
          </w:p>
        </w:tc>
      </w:tr>
      <w:tr w:rsidR="00AB65CA" w:rsidRPr="002F672B" w14:paraId="57470D2E" w14:textId="77777777" w:rsidTr="00E415ED">
        <w:tc>
          <w:tcPr>
            <w:tcW w:w="1334" w:type="pct"/>
            <w:noWrap/>
            <w:hideMark/>
          </w:tcPr>
          <w:p w14:paraId="3C045428" w14:textId="77777777" w:rsidR="00AB65CA" w:rsidRPr="002F672B" w:rsidRDefault="00AB65CA" w:rsidP="00AB65CA">
            <w:pPr>
              <w:rPr>
                <w:rFonts w:cs="Arial"/>
                <w:b/>
                <w:bCs/>
                <w:szCs w:val="16"/>
              </w:rPr>
            </w:pPr>
            <w:r w:rsidRPr="002F672B">
              <w:rPr>
                <w:rFonts w:cs="Arial"/>
                <w:b/>
                <w:bCs/>
                <w:szCs w:val="16"/>
              </w:rPr>
              <w:t>Outcome B\Category a</w:t>
            </w:r>
          </w:p>
        </w:tc>
        <w:tc>
          <w:tcPr>
            <w:tcW w:w="914" w:type="pct"/>
            <w:noWrap/>
            <w:vAlign w:val="bottom"/>
          </w:tcPr>
          <w:p w14:paraId="0D1D5269" w14:textId="76A853A1" w:rsidR="00AB65CA" w:rsidRPr="00AB65CA" w:rsidRDefault="00AB65CA" w:rsidP="00AB65CA">
            <w:pPr>
              <w:jc w:val="center"/>
              <w:rPr>
                <w:rFonts w:cs="Arial"/>
                <w:b/>
                <w:szCs w:val="16"/>
              </w:rPr>
            </w:pPr>
            <w:r w:rsidRPr="00AB65CA">
              <w:rPr>
                <w:rFonts w:cs="Arial"/>
                <w:color w:val="000000"/>
                <w:szCs w:val="16"/>
              </w:rPr>
              <w:t>1.39</w:t>
            </w:r>
          </w:p>
        </w:tc>
        <w:tc>
          <w:tcPr>
            <w:tcW w:w="921" w:type="pct"/>
            <w:noWrap/>
            <w:vAlign w:val="bottom"/>
          </w:tcPr>
          <w:p w14:paraId="38EF2B62" w14:textId="329D3EC6" w:rsidR="00AB65CA" w:rsidRPr="00AB65CA" w:rsidRDefault="00AB65CA" w:rsidP="00AB65CA">
            <w:pPr>
              <w:jc w:val="center"/>
              <w:rPr>
                <w:rFonts w:cs="Arial"/>
                <w:b/>
                <w:szCs w:val="16"/>
              </w:rPr>
            </w:pPr>
            <w:r w:rsidRPr="00AB65CA">
              <w:rPr>
                <w:rFonts w:cs="Arial"/>
                <w:color w:val="000000"/>
                <w:szCs w:val="16"/>
              </w:rPr>
              <w:t>3</w:t>
            </w:r>
          </w:p>
        </w:tc>
        <w:tc>
          <w:tcPr>
            <w:tcW w:w="919" w:type="pct"/>
            <w:noWrap/>
            <w:vAlign w:val="bottom"/>
          </w:tcPr>
          <w:p w14:paraId="4A603301" w14:textId="557E125D" w:rsidR="00AB65CA" w:rsidRPr="00AB65CA" w:rsidRDefault="00AB65CA" w:rsidP="00AB65CA">
            <w:pPr>
              <w:jc w:val="center"/>
              <w:rPr>
                <w:rFonts w:cs="Arial"/>
                <w:b/>
                <w:szCs w:val="16"/>
              </w:rPr>
            </w:pPr>
            <w:r w:rsidRPr="00AB65CA">
              <w:rPr>
                <w:rFonts w:cs="Arial"/>
                <w:color w:val="000000"/>
                <w:szCs w:val="16"/>
              </w:rPr>
              <w:t>-1.6</w:t>
            </w:r>
          </w:p>
        </w:tc>
        <w:tc>
          <w:tcPr>
            <w:tcW w:w="912" w:type="pct"/>
            <w:noWrap/>
            <w:vAlign w:val="bottom"/>
          </w:tcPr>
          <w:p w14:paraId="6791967C" w14:textId="60934ADB" w:rsidR="00AB65CA" w:rsidRPr="00AB65CA" w:rsidRDefault="00AB65CA" w:rsidP="00AB65CA">
            <w:pPr>
              <w:jc w:val="center"/>
              <w:rPr>
                <w:rFonts w:cs="Arial"/>
                <w:b/>
                <w:szCs w:val="16"/>
              </w:rPr>
            </w:pPr>
            <w:r w:rsidRPr="00AB65CA">
              <w:rPr>
                <w:rFonts w:cs="Arial"/>
                <w:color w:val="000000"/>
                <w:szCs w:val="16"/>
              </w:rPr>
              <w:t>4.39</w:t>
            </w:r>
          </w:p>
        </w:tc>
      </w:tr>
      <w:tr w:rsidR="00AB65CA" w:rsidRPr="002F672B" w14:paraId="00171CFD" w14:textId="77777777" w:rsidTr="00E415ED">
        <w:tc>
          <w:tcPr>
            <w:tcW w:w="1334" w:type="pct"/>
            <w:noWrap/>
            <w:hideMark/>
          </w:tcPr>
          <w:p w14:paraId="5BD17A65" w14:textId="77777777" w:rsidR="00AB65CA" w:rsidRPr="002F672B" w:rsidRDefault="00AB65CA" w:rsidP="00AB65CA">
            <w:pPr>
              <w:rPr>
                <w:rFonts w:cs="Arial"/>
                <w:b/>
                <w:bCs/>
                <w:szCs w:val="16"/>
              </w:rPr>
            </w:pPr>
            <w:r w:rsidRPr="002F672B">
              <w:rPr>
                <w:rFonts w:cs="Arial"/>
                <w:b/>
                <w:bCs/>
                <w:szCs w:val="16"/>
              </w:rPr>
              <w:t>Outcome C\Category a</w:t>
            </w:r>
          </w:p>
        </w:tc>
        <w:tc>
          <w:tcPr>
            <w:tcW w:w="914" w:type="pct"/>
            <w:noWrap/>
            <w:vAlign w:val="bottom"/>
          </w:tcPr>
          <w:p w14:paraId="0E5168FC" w14:textId="0DABA1EE" w:rsidR="00AB65CA" w:rsidRPr="00AB65CA" w:rsidRDefault="00AB65CA" w:rsidP="00AB65CA">
            <w:pPr>
              <w:jc w:val="center"/>
              <w:rPr>
                <w:rFonts w:cs="Arial"/>
                <w:b/>
                <w:szCs w:val="16"/>
              </w:rPr>
            </w:pPr>
            <w:r w:rsidRPr="00AB65CA">
              <w:rPr>
                <w:rFonts w:cs="Arial"/>
                <w:color w:val="000000"/>
                <w:szCs w:val="16"/>
              </w:rPr>
              <w:t>1.26</w:t>
            </w:r>
          </w:p>
        </w:tc>
        <w:tc>
          <w:tcPr>
            <w:tcW w:w="921" w:type="pct"/>
            <w:noWrap/>
            <w:vAlign w:val="bottom"/>
          </w:tcPr>
          <w:p w14:paraId="64353B6D" w14:textId="0C6FF04B" w:rsidR="00AB65CA" w:rsidRPr="00AB65CA" w:rsidRDefault="00AB65CA" w:rsidP="00AB65CA">
            <w:pPr>
              <w:jc w:val="center"/>
              <w:rPr>
                <w:rFonts w:cs="Arial"/>
                <w:b/>
                <w:szCs w:val="16"/>
              </w:rPr>
            </w:pPr>
            <w:r w:rsidRPr="00AB65CA">
              <w:rPr>
                <w:rFonts w:cs="Arial"/>
                <w:color w:val="000000"/>
                <w:szCs w:val="16"/>
              </w:rPr>
              <w:t>2.6</w:t>
            </w:r>
          </w:p>
        </w:tc>
        <w:tc>
          <w:tcPr>
            <w:tcW w:w="919" w:type="pct"/>
            <w:noWrap/>
            <w:vAlign w:val="bottom"/>
          </w:tcPr>
          <w:p w14:paraId="6935A10F" w14:textId="3D623600" w:rsidR="00AB65CA" w:rsidRPr="00AB65CA" w:rsidRDefault="00AB65CA" w:rsidP="00AB65CA">
            <w:pPr>
              <w:jc w:val="center"/>
              <w:rPr>
                <w:rFonts w:cs="Arial"/>
                <w:b/>
                <w:szCs w:val="16"/>
              </w:rPr>
            </w:pPr>
            <w:r w:rsidRPr="00AB65CA">
              <w:rPr>
                <w:rFonts w:cs="Arial"/>
                <w:color w:val="000000"/>
                <w:szCs w:val="16"/>
              </w:rPr>
              <w:t>-1.33</w:t>
            </w:r>
          </w:p>
        </w:tc>
        <w:tc>
          <w:tcPr>
            <w:tcW w:w="912" w:type="pct"/>
            <w:noWrap/>
            <w:vAlign w:val="bottom"/>
          </w:tcPr>
          <w:p w14:paraId="49709BD5" w14:textId="7BBE8626" w:rsidR="00AB65CA" w:rsidRPr="00AB65CA" w:rsidRDefault="00AB65CA" w:rsidP="00AB65CA">
            <w:pPr>
              <w:jc w:val="center"/>
              <w:rPr>
                <w:rFonts w:cs="Arial"/>
                <w:b/>
                <w:szCs w:val="16"/>
              </w:rPr>
            </w:pPr>
            <w:r w:rsidRPr="00AB65CA">
              <w:rPr>
                <w:rFonts w:cs="Arial"/>
                <w:color w:val="000000"/>
                <w:szCs w:val="16"/>
              </w:rPr>
              <w:t>3.86</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AB65CA" w:rsidRPr="00F83501" w14:paraId="215401CF" w14:textId="77777777" w:rsidTr="00E415ED">
        <w:tc>
          <w:tcPr>
            <w:tcW w:w="1334" w:type="pct"/>
            <w:noWrap/>
            <w:hideMark/>
          </w:tcPr>
          <w:p w14:paraId="284ADB23" w14:textId="77777777" w:rsidR="00AB65CA" w:rsidRPr="00B05769" w:rsidRDefault="00AB65CA" w:rsidP="00AB65CA">
            <w:pPr>
              <w:keepNext/>
              <w:rPr>
                <w:rFonts w:cs="Arial"/>
                <w:b/>
                <w:bCs/>
                <w:szCs w:val="16"/>
              </w:rPr>
            </w:pPr>
            <w:r w:rsidRPr="00B05769">
              <w:rPr>
                <w:rFonts w:cs="Arial"/>
                <w:b/>
                <w:bCs/>
                <w:szCs w:val="16"/>
              </w:rPr>
              <w:t>Outcome A\ Category b</w:t>
            </w:r>
          </w:p>
        </w:tc>
        <w:tc>
          <w:tcPr>
            <w:tcW w:w="914" w:type="pct"/>
            <w:noWrap/>
            <w:vAlign w:val="bottom"/>
            <w:hideMark/>
          </w:tcPr>
          <w:p w14:paraId="5AC595B8" w14:textId="5D6F3C46" w:rsidR="00AB65CA" w:rsidRPr="00AB65CA" w:rsidRDefault="00AB65CA" w:rsidP="00AB65CA">
            <w:pPr>
              <w:keepNext/>
              <w:tabs>
                <w:tab w:val="decimal" w:pos="882"/>
              </w:tabs>
              <w:rPr>
                <w:rFonts w:cs="Arial"/>
                <w:color w:val="000000"/>
                <w:szCs w:val="16"/>
              </w:rPr>
            </w:pPr>
            <w:r w:rsidRPr="00AB65CA">
              <w:rPr>
                <w:rFonts w:cs="Arial"/>
                <w:color w:val="000000"/>
                <w:szCs w:val="16"/>
              </w:rPr>
              <w:t>24.07</w:t>
            </w:r>
          </w:p>
        </w:tc>
        <w:tc>
          <w:tcPr>
            <w:tcW w:w="919" w:type="pct"/>
            <w:noWrap/>
            <w:vAlign w:val="bottom"/>
            <w:hideMark/>
          </w:tcPr>
          <w:p w14:paraId="690DA309" w14:textId="0F682033" w:rsidR="00AB65CA" w:rsidRPr="00AB65CA" w:rsidRDefault="00AB65CA" w:rsidP="00AB65CA">
            <w:pPr>
              <w:keepNext/>
              <w:tabs>
                <w:tab w:val="decimal" w:pos="886"/>
              </w:tabs>
              <w:rPr>
                <w:rFonts w:cs="Arial"/>
                <w:color w:val="000000"/>
                <w:szCs w:val="16"/>
              </w:rPr>
            </w:pPr>
            <w:r w:rsidRPr="00AB65CA">
              <w:rPr>
                <w:rFonts w:cs="Arial"/>
                <w:color w:val="000000"/>
                <w:szCs w:val="16"/>
              </w:rPr>
              <w:t>9.01</w:t>
            </w:r>
          </w:p>
        </w:tc>
        <w:tc>
          <w:tcPr>
            <w:tcW w:w="920" w:type="pct"/>
            <w:noWrap/>
            <w:vAlign w:val="bottom"/>
            <w:hideMark/>
          </w:tcPr>
          <w:p w14:paraId="4B347F63" w14:textId="28A8050B" w:rsidR="00AB65CA" w:rsidRPr="00AB65CA" w:rsidRDefault="00AB65CA" w:rsidP="00AB65CA">
            <w:pPr>
              <w:keepNext/>
              <w:tabs>
                <w:tab w:val="decimal" w:pos="886"/>
              </w:tabs>
              <w:rPr>
                <w:rFonts w:cs="Arial"/>
                <w:color w:val="000000"/>
                <w:szCs w:val="16"/>
              </w:rPr>
            </w:pPr>
            <w:r w:rsidRPr="00AB65CA">
              <w:rPr>
                <w:rFonts w:cs="Arial"/>
                <w:color w:val="000000"/>
                <w:szCs w:val="16"/>
              </w:rPr>
              <w:t>6.05</w:t>
            </w:r>
          </w:p>
        </w:tc>
        <w:tc>
          <w:tcPr>
            <w:tcW w:w="913" w:type="pct"/>
            <w:noWrap/>
            <w:vAlign w:val="bottom"/>
            <w:hideMark/>
          </w:tcPr>
          <w:p w14:paraId="3807E11E" w14:textId="50D63988" w:rsidR="00AB65CA" w:rsidRPr="00AB65CA" w:rsidRDefault="00AB65CA" w:rsidP="00AB65CA">
            <w:pPr>
              <w:keepNext/>
              <w:tabs>
                <w:tab w:val="decimal" w:pos="946"/>
              </w:tabs>
              <w:rPr>
                <w:rFonts w:cs="Arial"/>
                <w:color w:val="000000"/>
                <w:szCs w:val="16"/>
              </w:rPr>
            </w:pPr>
            <w:r w:rsidRPr="00AB65CA">
              <w:rPr>
                <w:rFonts w:cs="Arial"/>
                <w:color w:val="000000"/>
                <w:szCs w:val="16"/>
              </w:rPr>
              <w:t>42.08</w:t>
            </w:r>
          </w:p>
        </w:tc>
      </w:tr>
      <w:tr w:rsidR="00AB65CA" w:rsidRPr="00F83501" w14:paraId="42540E9E" w14:textId="77777777" w:rsidTr="00E415ED">
        <w:tc>
          <w:tcPr>
            <w:tcW w:w="1334" w:type="pct"/>
            <w:noWrap/>
            <w:hideMark/>
          </w:tcPr>
          <w:p w14:paraId="2ED627BC" w14:textId="77777777" w:rsidR="00AB65CA" w:rsidRPr="00B05769" w:rsidRDefault="00AB65CA" w:rsidP="00AB65CA">
            <w:pPr>
              <w:keepNext/>
              <w:rPr>
                <w:rFonts w:cs="Arial"/>
                <w:b/>
                <w:bCs/>
                <w:szCs w:val="16"/>
              </w:rPr>
            </w:pPr>
            <w:r w:rsidRPr="00B05769">
              <w:rPr>
                <w:rFonts w:cs="Arial"/>
                <w:b/>
                <w:bCs/>
                <w:szCs w:val="16"/>
              </w:rPr>
              <w:t>Outcome A\ Category c</w:t>
            </w:r>
          </w:p>
        </w:tc>
        <w:tc>
          <w:tcPr>
            <w:tcW w:w="914" w:type="pct"/>
            <w:noWrap/>
            <w:vAlign w:val="bottom"/>
            <w:hideMark/>
          </w:tcPr>
          <w:p w14:paraId="68BF205A" w14:textId="4569FBA2" w:rsidR="00AB65CA" w:rsidRPr="00AB65CA" w:rsidRDefault="00AB65CA" w:rsidP="00AB65CA">
            <w:pPr>
              <w:keepNext/>
              <w:tabs>
                <w:tab w:val="decimal" w:pos="882"/>
              </w:tabs>
              <w:rPr>
                <w:rFonts w:cs="Arial"/>
                <w:color w:val="000000"/>
                <w:szCs w:val="16"/>
              </w:rPr>
            </w:pPr>
            <w:r w:rsidRPr="00AB65CA">
              <w:rPr>
                <w:rFonts w:cs="Arial"/>
                <w:color w:val="000000"/>
                <w:szCs w:val="16"/>
              </w:rPr>
              <w:t>20.96</w:t>
            </w:r>
          </w:p>
        </w:tc>
        <w:tc>
          <w:tcPr>
            <w:tcW w:w="919" w:type="pct"/>
            <w:noWrap/>
            <w:vAlign w:val="bottom"/>
            <w:hideMark/>
          </w:tcPr>
          <w:p w14:paraId="0748FA5C" w14:textId="0DE75EE8" w:rsidR="00AB65CA" w:rsidRPr="00AB65CA" w:rsidRDefault="00AB65CA" w:rsidP="00AB65CA">
            <w:pPr>
              <w:keepNext/>
              <w:tabs>
                <w:tab w:val="decimal" w:pos="886"/>
              </w:tabs>
              <w:rPr>
                <w:rFonts w:cs="Arial"/>
                <w:color w:val="000000"/>
                <w:szCs w:val="16"/>
              </w:rPr>
            </w:pPr>
            <w:r w:rsidRPr="00AB65CA">
              <w:rPr>
                <w:rFonts w:cs="Arial"/>
                <w:color w:val="000000"/>
                <w:szCs w:val="16"/>
              </w:rPr>
              <w:t>13.11</w:t>
            </w:r>
          </w:p>
        </w:tc>
        <w:tc>
          <w:tcPr>
            <w:tcW w:w="920" w:type="pct"/>
            <w:noWrap/>
            <w:vAlign w:val="bottom"/>
            <w:hideMark/>
          </w:tcPr>
          <w:p w14:paraId="15B950D9" w14:textId="003090B9" w:rsidR="00AB65CA" w:rsidRPr="00AB65CA" w:rsidRDefault="00AB65CA" w:rsidP="00AB65CA">
            <w:pPr>
              <w:keepNext/>
              <w:tabs>
                <w:tab w:val="decimal" w:pos="886"/>
              </w:tabs>
              <w:rPr>
                <w:rFonts w:cs="Arial"/>
                <w:color w:val="000000"/>
                <w:szCs w:val="16"/>
              </w:rPr>
            </w:pPr>
            <w:r w:rsidRPr="00AB65CA">
              <w:rPr>
                <w:rFonts w:cs="Arial"/>
                <w:color w:val="000000"/>
                <w:szCs w:val="16"/>
              </w:rPr>
              <w:t>-5.27</w:t>
            </w:r>
          </w:p>
        </w:tc>
        <w:tc>
          <w:tcPr>
            <w:tcW w:w="913" w:type="pct"/>
            <w:noWrap/>
            <w:vAlign w:val="bottom"/>
            <w:hideMark/>
          </w:tcPr>
          <w:p w14:paraId="015F5BDE" w14:textId="622CC3A6" w:rsidR="00AB65CA" w:rsidRPr="00AB65CA" w:rsidRDefault="00AB65CA" w:rsidP="00AB65CA">
            <w:pPr>
              <w:keepNext/>
              <w:tabs>
                <w:tab w:val="decimal" w:pos="946"/>
              </w:tabs>
              <w:rPr>
                <w:rFonts w:cs="Arial"/>
                <w:color w:val="000000"/>
                <w:szCs w:val="16"/>
              </w:rPr>
            </w:pPr>
            <w:r w:rsidRPr="00AB65CA">
              <w:rPr>
                <w:rFonts w:cs="Arial"/>
                <w:color w:val="000000"/>
                <w:szCs w:val="16"/>
              </w:rPr>
              <w:t>47.19</w:t>
            </w:r>
          </w:p>
        </w:tc>
      </w:tr>
      <w:tr w:rsidR="00AB65CA" w:rsidRPr="00F83501" w14:paraId="17F6CB09" w14:textId="77777777" w:rsidTr="00E415ED">
        <w:tc>
          <w:tcPr>
            <w:tcW w:w="1334" w:type="pct"/>
            <w:noWrap/>
            <w:hideMark/>
          </w:tcPr>
          <w:p w14:paraId="2DC19B5E" w14:textId="77777777" w:rsidR="00AB65CA" w:rsidRPr="00B05769" w:rsidRDefault="00AB65CA" w:rsidP="00AB65CA">
            <w:pPr>
              <w:keepNext/>
              <w:rPr>
                <w:rFonts w:cs="Arial"/>
                <w:b/>
                <w:bCs/>
                <w:szCs w:val="16"/>
              </w:rPr>
            </w:pPr>
            <w:r w:rsidRPr="00B05769">
              <w:rPr>
                <w:rFonts w:cs="Arial"/>
                <w:b/>
                <w:bCs/>
                <w:szCs w:val="16"/>
              </w:rPr>
              <w:t>Outcome A\ Category d</w:t>
            </w:r>
          </w:p>
        </w:tc>
        <w:tc>
          <w:tcPr>
            <w:tcW w:w="914" w:type="pct"/>
            <w:noWrap/>
            <w:vAlign w:val="bottom"/>
            <w:hideMark/>
          </w:tcPr>
          <w:p w14:paraId="77722D87" w14:textId="6A5AAB38" w:rsidR="00AB65CA" w:rsidRPr="00AB65CA" w:rsidRDefault="00AB65CA" w:rsidP="00AB65CA">
            <w:pPr>
              <w:keepNext/>
              <w:tabs>
                <w:tab w:val="decimal" w:pos="882"/>
              </w:tabs>
              <w:rPr>
                <w:rFonts w:cs="Arial"/>
                <w:color w:val="000000"/>
                <w:szCs w:val="16"/>
              </w:rPr>
            </w:pPr>
            <w:r w:rsidRPr="00AB65CA">
              <w:rPr>
                <w:rFonts w:cs="Arial"/>
                <w:color w:val="000000"/>
                <w:szCs w:val="16"/>
              </w:rPr>
              <w:t>26.97</w:t>
            </w:r>
          </w:p>
        </w:tc>
        <w:tc>
          <w:tcPr>
            <w:tcW w:w="919" w:type="pct"/>
            <w:noWrap/>
            <w:vAlign w:val="bottom"/>
            <w:hideMark/>
          </w:tcPr>
          <w:p w14:paraId="72497FB6" w14:textId="33676B7F" w:rsidR="00AB65CA" w:rsidRPr="00AB65CA" w:rsidRDefault="00AB65CA" w:rsidP="00AB65CA">
            <w:pPr>
              <w:keepNext/>
              <w:tabs>
                <w:tab w:val="decimal" w:pos="886"/>
              </w:tabs>
              <w:rPr>
                <w:rFonts w:cs="Arial"/>
                <w:color w:val="000000"/>
                <w:szCs w:val="16"/>
              </w:rPr>
            </w:pPr>
            <w:r w:rsidRPr="00AB65CA">
              <w:rPr>
                <w:rFonts w:cs="Arial"/>
                <w:color w:val="000000"/>
                <w:szCs w:val="16"/>
              </w:rPr>
              <w:t>9.61</w:t>
            </w:r>
          </w:p>
        </w:tc>
        <w:tc>
          <w:tcPr>
            <w:tcW w:w="920" w:type="pct"/>
            <w:noWrap/>
            <w:vAlign w:val="bottom"/>
            <w:hideMark/>
          </w:tcPr>
          <w:p w14:paraId="08B56A13" w14:textId="2193AD0C" w:rsidR="00AB65CA" w:rsidRPr="00AB65CA" w:rsidRDefault="00AB65CA" w:rsidP="00AB65CA">
            <w:pPr>
              <w:keepNext/>
              <w:tabs>
                <w:tab w:val="decimal" w:pos="886"/>
              </w:tabs>
              <w:rPr>
                <w:rFonts w:cs="Arial"/>
                <w:color w:val="000000"/>
                <w:szCs w:val="16"/>
              </w:rPr>
            </w:pPr>
            <w:r w:rsidRPr="00AB65CA">
              <w:rPr>
                <w:rFonts w:cs="Arial"/>
                <w:color w:val="000000"/>
                <w:szCs w:val="16"/>
              </w:rPr>
              <w:t>7.74</w:t>
            </w:r>
          </w:p>
        </w:tc>
        <w:tc>
          <w:tcPr>
            <w:tcW w:w="913" w:type="pct"/>
            <w:noWrap/>
            <w:vAlign w:val="bottom"/>
            <w:hideMark/>
          </w:tcPr>
          <w:p w14:paraId="32B2FF3E" w14:textId="39626AE5" w:rsidR="00AB65CA" w:rsidRPr="00AB65CA" w:rsidRDefault="00AB65CA" w:rsidP="00AB65CA">
            <w:pPr>
              <w:keepNext/>
              <w:tabs>
                <w:tab w:val="decimal" w:pos="946"/>
              </w:tabs>
              <w:rPr>
                <w:rFonts w:cs="Arial"/>
                <w:color w:val="000000"/>
                <w:szCs w:val="16"/>
              </w:rPr>
            </w:pPr>
            <w:r w:rsidRPr="00AB65CA">
              <w:rPr>
                <w:rFonts w:cs="Arial"/>
                <w:color w:val="000000"/>
                <w:szCs w:val="16"/>
              </w:rPr>
              <w:t>46.2</w:t>
            </w:r>
          </w:p>
        </w:tc>
      </w:tr>
      <w:tr w:rsidR="00AB65CA" w:rsidRPr="00F83501" w14:paraId="4D3CF099" w14:textId="77777777" w:rsidTr="00E415ED">
        <w:tc>
          <w:tcPr>
            <w:tcW w:w="1334" w:type="pct"/>
            <w:noWrap/>
            <w:hideMark/>
          </w:tcPr>
          <w:p w14:paraId="71D7E61E" w14:textId="77777777" w:rsidR="00AB65CA" w:rsidRPr="00B05769" w:rsidRDefault="00AB65CA" w:rsidP="00AB65CA">
            <w:pPr>
              <w:keepNext/>
              <w:rPr>
                <w:rFonts w:cs="Arial"/>
                <w:b/>
                <w:bCs/>
                <w:szCs w:val="16"/>
              </w:rPr>
            </w:pPr>
            <w:r w:rsidRPr="00B05769">
              <w:rPr>
                <w:rFonts w:cs="Arial"/>
                <w:b/>
                <w:bCs/>
                <w:szCs w:val="16"/>
              </w:rPr>
              <w:t>Outcome A\ Category e</w:t>
            </w:r>
          </w:p>
        </w:tc>
        <w:tc>
          <w:tcPr>
            <w:tcW w:w="914" w:type="pct"/>
            <w:noWrap/>
            <w:vAlign w:val="bottom"/>
            <w:hideMark/>
          </w:tcPr>
          <w:p w14:paraId="02A4028A" w14:textId="0FAB9C40" w:rsidR="00AB65CA" w:rsidRPr="00AB65CA" w:rsidRDefault="00AB65CA" w:rsidP="00AB65CA">
            <w:pPr>
              <w:keepNext/>
              <w:tabs>
                <w:tab w:val="decimal" w:pos="882"/>
              </w:tabs>
              <w:rPr>
                <w:rFonts w:cs="Arial"/>
                <w:color w:val="000000"/>
                <w:szCs w:val="16"/>
              </w:rPr>
            </w:pPr>
            <w:r w:rsidRPr="00AB65CA">
              <w:rPr>
                <w:rFonts w:cs="Arial"/>
                <w:color w:val="000000"/>
                <w:szCs w:val="16"/>
              </w:rPr>
              <w:t>26.43</w:t>
            </w:r>
          </w:p>
        </w:tc>
        <w:tc>
          <w:tcPr>
            <w:tcW w:w="919" w:type="pct"/>
            <w:noWrap/>
            <w:vAlign w:val="bottom"/>
            <w:hideMark/>
          </w:tcPr>
          <w:p w14:paraId="69022280" w14:textId="4595FA8C" w:rsidR="00AB65CA" w:rsidRPr="00AB65CA" w:rsidRDefault="00AB65CA" w:rsidP="00AB65CA">
            <w:pPr>
              <w:keepNext/>
              <w:tabs>
                <w:tab w:val="decimal" w:pos="886"/>
              </w:tabs>
              <w:rPr>
                <w:rFonts w:cs="Arial"/>
                <w:color w:val="000000"/>
                <w:szCs w:val="16"/>
              </w:rPr>
            </w:pPr>
            <w:r w:rsidRPr="00AB65CA">
              <w:rPr>
                <w:rFonts w:cs="Arial"/>
                <w:color w:val="000000"/>
                <w:szCs w:val="16"/>
              </w:rPr>
              <w:t>15.4</w:t>
            </w:r>
          </w:p>
        </w:tc>
        <w:tc>
          <w:tcPr>
            <w:tcW w:w="920" w:type="pct"/>
            <w:noWrap/>
            <w:vAlign w:val="bottom"/>
            <w:hideMark/>
          </w:tcPr>
          <w:p w14:paraId="11F27574" w14:textId="25B9A8A6" w:rsidR="00AB65CA" w:rsidRPr="00AB65CA" w:rsidRDefault="00AB65CA" w:rsidP="00AB65CA">
            <w:pPr>
              <w:keepNext/>
              <w:tabs>
                <w:tab w:val="decimal" w:pos="886"/>
              </w:tabs>
              <w:rPr>
                <w:rFonts w:cs="Arial"/>
                <w:color w:val="000000"/>
                <w:szCs w:val="16"/>
              </w:rPr>
            </w:pPr>
            <w:r w:rsidRPr="00AB65CA">
              <w:rPr>
                <w:rFonts w:cs="Arial"/>
                <w:color w:val="000000"/>
                <w:szCs w:val="16"/>
              </w:rPr>
              <w:t>-4.37</w:t>
            </w:r>
          </w:p>
        </w:tc>
        <w:tc>
          <w:tcPr>
            <w:tcW w:w="913" w:type="pct"/>
            <w:noWrap/>
            <w:vAlign w:val="bottom"/>
            <w:hideMark/>
          </w:tcPr>
          <w:p w14:paraId="1D908B4E" w14:textId="5E87AF56" w:rsidR="00AB65CA" w:rsidRPr="00AB65CA" w:rsidRDefault="00AB65CA" w:rsidP="00AB65CA">
            <w:pPr>
              <w:keepNext/>
              <w:tabs>
                <w:tab w:val="decimal" w:pos="946"/>
              </w:tabs>
              <w:rPr>
                <w:rFonts w:cs="Arial"/>
                <w:color w:val="000000"/>
                <w:szCs w:val="16"/>
              </w:rPr>
            </w:pPr>
            <w:r w:rsidRPr="00AB65CA">
              <w:rPr>
                <w:rFonts w:cs="Arial"/>
                <w:color w:val="000000"/>
                <w:szCs w:val="16"/>
              </w:rPr>
              <w:t>57.23</w:t>
            </w:r>
          </w:p>
        </w:tc>
      </w:tr>
      <w:tr w:rsidR="00AB65CA" w:rsidRPr="00F83501" w14:paraId="3C0B2AD9" w14:textId="77777777" w:rsidTr="00E415ED">
        <w:tc>
          <w:tcPr>
            <w:tcW w:w="1334" w:type="pct"/>
            <w:noWrap/>
            <w:hideMark/>
          </w:tcPr>
          <w:p w14:paraId="35E6FF70" w14:textId="77777777" w:rsidR="00AB65CA" w:rsidRPr="00B05769" w:rsidRDefault="00AB65CA" w:rsidP="00AB65CA">
            <w:pPr>
              <w:keepNext/>
              <w:rPr>
                <w:rFonts w:cs="Arial"/>
                <w:b/>
                <w:bCs/>
                <w:szCs w:val="16"/>
              </w:rPr>
            </w:pPr>
            <w:r w:rsidRPr="00B05769">
              <w:rPr>
                <w:rFonts w:cs="Arial"/>
                <w:b/>
                <w:bCs/>
                <w:szCs w:val="16"/>
              </w:rPr>
              <w:t>Outcome B\ Category b</w:t>
            </w:r>
          </w:p>
        </w:tc>
        <w:tc>
          <w:tcPr>
            <w:tcW w:w="914" w:type="pct"/>
            <w:noWrap/>
            <w:vAlign w:val="bottom"/>
            <w:hideMark/>
          </w:tcPr>
          <w:p w14:paraId="79E24E11" w14:textId="165E5794" w:rsidR="00AB65CA" w:rsidRPr="00AB65CA" w:rsidRDefault="00AB65CA" w:rsidP="00AB65CA">
            <w:pPr>
              <w:keepNext/>
              <w:tabs>
                <w:tab w:val="decimal" w:pos="882"/>
              </w:tabs>
              <w:rPr>
                <w:rFonts w:cs="Arial"/>
                <w:color w:val="000000"/>
                <w:szCs w:val="16"/>
              </w:rPr>
            </w:pPr>
            <w:r w:rsidRPr="00AB65CA">
              <w:rPr>
                <w:rFonts w:cs="Arial"/>
                <w:color w:val="000000"/>
                <w:szCs w:val="16"/>
              </w:rPr>
              <w:t>25.63</w:t>
            </w:r>
          </w:p>
        </w:tc>
        <w:tc>
          <w:tcPr>
            <w:tcW w:w="919" w:type="pct"/>
            <w:noWrap/>
            <w:vAlign w:val="bottom"/>
            <w:hideMark/>
          </w:tcPr>
          <w:p w14:paraId="79D9CEF8" w14:textId="3C527A5E" w:rsidR="00AB65CA" w:rsidRPr="00AB65CA" w:rsidRDefault="00AB65CA" w:rsidP="00AB65CA">
            <w:pPr>
              <w:keepNext/>
              <w:tabs>
                <w:tab w:val="decimal" w:pos="886"/>
              </w:tabs>
              <w:rPr>
                <w:rFonts w:cs="Arial"/>
                <w:color w:val="000000"/>
                <w:szCs w:val="16"/>
              </w:rPr>
            </w:pPr>
            <w:r w:rsidRPr="00AB65CA">
              <w:rPr>
                <w:rFonts w:cs="Arial"/>
                <w:color w:val="000000"/>
                <w:szCs w:val="16"/>
              </w:rPr>
              <w:t>9.71</w:t>
            </w:r>
          </w:p>
        </w:tc>
        <w:tc>
          <w:tcPr>
            <w:tcW w:w="920" w:type="pct"/>
            <w:noWrap/>
            <w:vAlign w:val="bottom"/>
            <w:hideMark/>
          </w:tcPr>
          <w:p w14:paraId="33E5F668" w14:textId="432D4B6E" w:rsidR="00AB65CA" w:rsidRPr="00AB65CA" w:rsidRDefault="00AB65CA" w:rsidP="00AB65CA">
            <w:pPr>
              <w:keepNext/>
              <w:tabs>
                <w:tab w:val="decimal" w:pos="886"/>
              </w:tabs>
              <w:rPr>
                <w:rFonts w:cs="Arial"/>
                <w:color w:val="000000"/>
                <w:szCs w:val="16"/>
              </w:rPr>
            </w:pPr>
            <w:r w:rsidRPr="00AB65CA">
              <w:rPr>
                <w:rFonts w:cs="Arial"/>
                <w:color w:val="000000"/>
                <w:szCs w:val="16"/>
              </w:rPr>
              <w:t>6.21</w:t>
            </w:r>
          </w:p>
        </w:tc>
        <w:tc>
          <w:tcPr>
            <w:tcW w:w="913" w:type="pct"/>
            <w:noWrap/>
            <w:vAlign w:val="bottom"/>
            <w:hideMark/>
          </w:tcPr>
          <w:p w14:paraId="182AC66E" w14:textId="3BB3884A" w:rsidR="00AB65CA" w:rsidRPr="00AB65CA" w:rsidRDefault="00AB65CA" w:rsidP="00AB65CA">
            <w:pPr>
              <w:keepNext/>
              <w:tabs>
                <w:tab w:val="decimal" w:pos="946"/>
              </w:tabs>
              <w:rPr>
                <w:rFonts w:cs="Arial"/>
                <w:color w:val="000000"/>
                <w:szCs w:val="16"/>
              </w:rPr>
            </w:pPr>
            <w:r w:rsidRPr="00AB65CA">
              <w:rPr>
                <w:rFonts w:cs="Arial"/>
                <w:color w:val="000000"/>
                <w:szCs w:val="16"/>
              </w:rPr>
              <w:t>45.04</w:t>
            </w:r>
          </w:p>
        </w:tc>
      </w:tr>
      <w:tr w:rsidR="00AB65CA" w:rsidRPr="00F83501" w14:paraId="19CCC4BA" w14:textId="77777777" w:rsidTr="00E415ED">
        <w:tc>
          <w:tcPr>
            <w:tcW w:w="1334" w:type="pct"/>
            <w:noWrap/>
            <w:hideMark/>
          </w:tcPr>
          <w:p w14:paraId="1377AC37" w14:textId="77777777" w:rsidR="00AB65CA" w:rsidRPr="00B05769" w:rsidRDefault="00AB65CA" w:rsidP="00AB65CA">
            <w:pPr>
              <w:keepNext/>
              <w:rPr>
                <w:rFonts w:cs="Arial"/>
                <w:b/>
                <w:bCs/>
                <w:szCs w:val="16"/>
              </w:rPr>
            </w:pPr>
            <w:r w:rsidRPr="00B05769">
              <w:rPr>
                <w:rFonts w:cs="Arial"/>
                <w:b/>
                <w:bCs/>
                <w:szCs w:val="16"/>
              </w:rPr>
              <w:t>Outcome B\ Category c</w:t>
            </w:r>
          </w:p>
        </w:tc>
        <w:tc>
          <w:tcPr>
            <w:tcW w:w="914" w:type="pct"/>
            <w:noWrap/>
            <w:vAlign w:val="bottom"/>
            <w:hideMark/>
          </w:tcPr>
          <w:p w14:paraId="7116643D" w14:textId="718043BD" w:rsidR="00AB65CA" w:rsidRPr="00AB65CA" w:rsidRDefault="00AB65CA" w:rsidP="00AB65CA">
            <w:pPr>
              <w:keepNext/>
              <w:tabs>
                <w:tab w:val="decimal" w:pos="882"/>
              </w:tabs>
              <w:rPr>
                <w:rFonts w:cs="Arial"/>
                <w:color w:val="000000"/>
                <w:szCs w:val="16"/>
              </w:rPr>
            </w:pPr>
            <w:r w:rsidRPr="00AB65CA">
              <w:rPr>
                <w:rFonts w:cs="Arial"/>
                <w:color w:val="000000"/>
                <w:szCs w:val="16"/>
              </w:rPr>
              <w:t>29.44</w:t>
            </w:r>
          </w:p>
        </w:tc>
        <w:tc>
          <w:tcPr>
            <w:tcW w:w="919" w:type="pct"/>
            <w:noWrap/>
            <w:vAlign w:val="bottom"/>
            <w:hideMark/>
          </w:tcPr>
          <w:p w14:paraId="03106316" w14:textId="60B3A717" w:rsidR="00AB65CA" w:rsidRPr="00AB65CA" w:rsidRDefault="00AB65CA" w:rsidP="00AB65CA">
            <w:pPr>
              <w:keepNext/>
              <w:tabs>
                <w:tab w:val="decimal" w:pos="886"/>
              </w:tabs>
              <w:rPr>
                <w:rFonts w:cs="Arial"/>
                <w:color w:val="000000"/>
                <w:szCs w:val="16"/>
              </w:rPr>
            </w:pPr>
            <w:r w:rsidRPr="00AB65CA">
              <w:rPr>
                <w:rFonts w:cs="Arial"/>
                <w:color w:val="000000"/>
                <w:szCs w:val="16"/>
              </w:rPr>
              <w:t>12.56</w:t>
            </w:r>
          </w:p>
        </w:tc>
        <w:tc>
          <w:tcPr>
            <w:tcW w:w="920" w:type="pct"/>
            <w:noWrap/>
            <w:vAlign w:val="bottom"/>
            <w:hideMark/>
          </w:tcPr>
          <w:p w14:paraId="26B5FE43" w14:textId="671DF9E4" w:rsidR="00AB65CA" w:rsidRPr="00AB65CA" w:rsidRDefault="00AB65CA" w:rsidP="00AB65CA">
            <w:pPr>
              <w:keepNext/>
              <w:tabs>
                <w:tab w:val="decimal" w:pos="886"/>
              </w:tabs>
              <w:rPr>
                <w:rFonts w:cs="Arial"/>
                <w:color w:val="000000"/>
                <w:szCs w:val="16"/>
              </w:rPr>
            </w:pPr>
            <w:r w:rsidRPr="00AB65CA">
              <w:rPr>
                <w:rFonts w:cs="Arial"/>
                <w:color w:val="000000"/>
                <w:szCs w:val="16"/>
              </w:rPr>
              <w:t>4.32</w:t>
            </w:r>
          </w:p>
        </w:tc>
        <w:tc>
          <w:tcPr>
            <w:tcW w:w="913" w:type="pct"/>
            <w:noWrap/>
            <w:vAlign w:val="bottom"/>
            <w:hideMark/>
          </w:tcPr>
          <w:p w14:paraId="2EE81DD2" w14:textId="0408862F" w:rsidR="00AB65CA" w:rsidRPr="00AB65CA" w:rsidRDefault="00AB65CA" w:rsidP="00AB65CA">
            <w:pPr>
              <w:keepNext/>
              <w:tabs>
                <w:tab w:val="decimal" w:pos="946"/>
              </w:tabs>
              <w:rPr>
                <w:rFonts w:cs="Arial"/>
                <w:color w:val="000000"/>
                <w:szCs w:val="16"/>
              </w:rPr>
            </w:pPr>
            <w:r w:rsidRPr="00AB65CA">
              <w:rPr>
                <w:rFonts w:cs="Arial"/>
                <w:color w:val="000000"/>
                <w:szCs w:val="16"/>
              </w:rPr>
              <w:t>54.57</w:t>
            </w:r>
          </w:p>
        </w:tc>
      </w:tr>
      <w:tr w:rsidR="00AB65CA" w:rsidRPr="00F83501" w14:paraId="05C7D05D" w14:textId="77777777" w:rsidTr="00E415ED">
        <w:tc>
          <w:tcPr>
            <w:tcW w:w="1334" w:type="pct"/>
            <w:noWrap/>
            <w:hideMark/>
          </w:tcPr>
          <w:p w14:paraId="5FA3D954" w14:textId="77777777" w:rsidR="00AB65CA" w:rsidRPr="00B05769" w:rsidRDefault="00AB65CA" w:rsidP="00AB65CA">
            <w:pPr>
              <w:keepNext/>
              <w:rPr>
                <w:rFonts w:cs="Arial"/>
                <w:b/>
                <w:bCs/>
                <w:szCs w:val="16"/>
              </w:rPr>
            </w:pPr>
            <w:r w:rsidRPr="00B05769">
              <w:rPr>
                <w:rFonts w:cs="Arial"/>
                <w:b/>
                <w:bCs/>
                <w:szCs w:val="16"/>
              </w:rPr>
              <w:t>Outcome B\ Category d</w:t>
            </w:r>
          </w:p>
        </w:tc>
        <w:tc>
          <w:tcPr>
            <w:tcW w:w="914" w:type="pct"/>
            <w:noWrap/>
            <w:vAlign w:val="bottom"/>
            <w:hideMark/>
          </w:tcPr>
          <w:p w14:paraId="2BD5497A" w14:textId="56107132" w:rsidR="00AB65CA" w:rsidRPr="00AB65CA" w:rsidRDefault="00AB65CA" w:rsidP="00AB65CA">
            <w:pPr>
              <w:keepNext/>
              <w:tabs>
                <w:tab w:val="decimal" w:pos="882"/>
              </w:tabs>
              <w:rPr>
                <w:rFonts w:cs="Arial"/>
                <w:color w:val="000000"/>
                <w:szCs w:val="16"/>
              </w:rPr>
            </w:pPr>
            <w:r w:rsidRPr="00AB65CA">
              <w:rPr>
                <w:rFonts w:cs="Arial"/>
                <w:color w:val="000000"/>
                <w:szCs w:val="16"/>
              </w:rPr>
              <w:t>31.02</w:t>
            </w:r>
          </w:p>
        </w:tc>
        <w:tc>
          <w:tcPr>
            <w:tcW w:w="919" w:type="pct"/>
            <w:noWrap/>
            <w:vAlign w:val="bottom"/>
            <w:hideMark/>
          </w:tcPr>
          <w:p w14:paraId="30709E9E" w14:textId="4FD366E0" w:rsidR="00AB65CA" w:rsidRPr="00AB65CA" w:rsidRDefault="00AB65CA" w:rsidP="00AB65CA">
            <w:pPr>
              <w:keepNext/>
              <w:tabs>
                <w:tab w:val="decimal" w:pos="886"/>
              </w:tabs>
              <w:rPr>
                <w:rFonts w:cs="Arial"/>
                <w:color w:val="000000"/>
                <w:szCs w:val="16"/>
              </w:rPr>
            </w:pPr>
            <w:r w:rsidRPr="00AB65CA">
              <w:rPr>
                <w:rFonts w:cs="Arial"/>
                <w:color w:val="000000"/>
                <w:szCs w:val="16"/>
              </w:rPr>
              <w:t>8.11</w:t>
            </w:r>
          </w:p>
        </w:tc>
        <w:tc>
          <w:tcPr>
            <w:tcW w:w="920" w:type="pct"/>
            <w:noWrap/>
            <w:vAlign w:val="bottom"/>
            <w:hideMark/>
          </w:tcPr>
          <w:p w14:paraId="6B81F04F" w14:textId="7C1E85CC" w:rsidR="00AB65CA" w:rsidRPr="00AB65CA" w:rsidRDefault="00AB65CA" w:rsidP="00AB65CA">
            <w:pPr>
              <w:keepNext/>
              <w:tabs>
                <w:tab w:val="decimal" w:pos="886"/>
              </w:tabs>
              <w:rPr>
                <w:rFonts w:cs="Arial"/>
                <w:color w:val="000000"/>
                <w:szCs w:val="16"/>
              </w:rPr>
            </w:pPr>
            <w:r w:rsidRPr="00AB65CA">
              <w:rPr>
                <w:rFonts w:cs="Arial"/>
                <w:color w:val="000000"/>
                <w:szCs w:val="16"/>
              </w:rPr>
              <w:t>14.8</w:t>
            </w:r>
          </w:p>
        </w:tc>
        <w:tc>
          <w:tcPr>
            <w:tcW w:w="913" w:type="pct"/>
            <w:noWrap/>
            <w:vAlign w:val="bottom"/>
            <w:hideMark/>
          </w:tcPr>
          <w:p w14:paraId="72ECE987" w14:textId="39FFEEED" w:rsidR="00AB65CA" w:rsidRPr="00AB65CA" w:rsidRDefault="00AB65CA" w:rsidP="00AB65CA">
            <w:pPr>
              <w:keepNext/>
              <w:tabs>
                <w:tab w:val="decimal" w:pos="946"/>
              </w:tabs>
              <w:rPr>
                <w:rFonts w:cs="Arial"/>
                <w:color w:val="000000"/>
                <w:szCs w:val="16"/>
              </w:rPr>
            </w:pPr>
            <w:r w:rsidRPr="00AB65CA">
              <w:rPr>
                <w:rFonts w:cs="Arial"/>
                <w:color w:val="000000"/>
                <w:szCs w:val="16"/>
              </w:rPr>
              <w:t>47.25</w:t>
            </w:r>
          </w:p>
        </w:tc>
      </w:tr>
      <w:tr w:rsidR="00AB65CA" w:rsidRPr="00F83501" w14:paraId="327D4090" w14:textId="77777777" w:rsidTr="00E415ED">
        <w:tc>
          <w:tcPr>
            <w:tcW w:w="1334" w:type="pct"/>
            <w:noWrap/>
            <w:hideMark/>
          </w:tcPr>
          <w:p w14:paraId="5D913E0D" w14:textId="77777777" w:rsidR="00AB65CA" w:rsidRPr="00B05769" w:rsidRDefault="00AB65CA" w:rsidP="00AB65CA">
            <w:pPr>
              <w:keepNext/>
              <w:rPr>
                <w:rFonts w:cs="Arial"/>
                <w:b/>
                <w:bCs/>
                <w:szCs w:val="16"/>
              </w:rPr>
            </w:pPr>
            <w:r w:rsidRPr="00B05769">
              <w:rPr>
                <w:rFonts w:cs="Arial"/>
                <w:b/>
                <w:bCs/>
                <w:szCs w:val="16"/>
              </w:rPr>
              <w:t>Outcome B\ Category e</w:t>
            </w:r>
          </w:p>
        </w:tc>
        <w:tc>
          <w:tcPr>
            <w:tcW w:w="914" w:type="pct"/>
            <w:noWrap/>
            <w:vAlign w:val="bottom"/>
            <w:hideMark/>
          </w:tcPr>
          <w:p w14:paraId="28065064" w14:textId="2A7DD1D7" w:rsidR="00AB65CA" w:rsidRPr="00AB65CA" w:rsidRDefault="00AB65CA" w:rsidP="00AB65CA">
            <w:pPr>
              <w:keepNext/>
              <w:tabs>
                <w:tab w:val="decimal" w:pos="882"/>
              </w:tabs>
              <w:rPr>
                <w:rFonts w:cs="Arial"/>
                <w:color w:val="000000"/>
                <w:szCs w:val="16"/>
              </w:rPr>
            </w:pPr>
            <w:r w:rsidRPr="00AB65CA">
              <w:rPr>
                <w:rFonts w:cs="Arial"/>
                <w:color w:val="000000"/>
                <w:szCs w:val="16"/>
              </w:rPr>
              <w:t>12.51</w:t>
            </w:r>
          </w:p>
        </w:tc>
        <w:tc>
          <w:tcPr>
            <w:tcW w:w="919" w:type="pct"/>
            <w:noWrap/>
            <w:vAlign w:val="bottom"/>
            <w:hideMark/>
          </w:tcPr>
          <w:p w14:paraId="1546D3BD" w14:textId="37E7F37B" w:rsidR="00AB65CA" w:rsidRPr="00AB65CA" w:rsidRDefault="00AB65CA" w:rsidP="00AB65CA">
            <w:pPr>
              <w:keepNext/>
              <w:tabs>
                <w:tab w:val="decimal" w:pos="886"/>
              </w:tabs>
              <w:rPr>
                <w:rFonts w:cs="Arial"/>
                <w:color w:val="000000"/>
                <w:szCs w:val="16"/>
              </w:rPr>
            </w:pPr>
            <w:r w:rsidRPr="00AB65CA">
              <w:rPr>
                <w:rFonts w:cs="Arial"/>
                <w:color w:val="000000"/>
                <w:szCs w:val="16"/>
              </w:rPr>
              <w:t>8.23</w:t>
            </w:r>
          </w:p>
        </w:tc>
        <w:tc>
          <w:tcPr>
            <w:tcW w:w="920" w:type="pct"/>
            <w:noWrap/>
            <w:vAlign w:val="bottom"/>
            <w:hideMark/>
          </w:tcPr>
          <w:p w14:paraId="5935B11B" w14:textId="58748F5F" w:rsidR="00AB65CA" w:rsidRPr="00AB65CA" w:rsidRDefault="00AB65CA" w:rsidP="00AB65CA">
            <w:pPr>
              <w:keepNext/>
              <w:tabs>
                <w:tab w:val="decimal" w:pos="886"/>
              </w:tabs>
              <w:rPr>
                <w:rFonts w:cs="Arial"/>
                <w:color w:val="000000"/>
                <w:szCs w:val="16"/>
              </w:rPr>
            </w:pPr>
            <w:r w:rsidRPr="00AB65CA">
              <w:rPr>
                <w:rFonts w:cs="Arial"/>
                <w:color w:val="000000"/>
                <w:szCs w:val="16"/>
              </w:rPr>
              <w:t>-3.96</w:t>
            </w:r>
          </w:p>
        </w:tc>
        <w:tc>
          <w:tcPr>
            <w:tcW w:w="913" w:type="pct"/>
            <w:noWrap/>
            <w:vAlign w:val="bottom"/>
            <w:hideMark/>
          </w:tcPr>
          <w:p w14:paraId="7BD84287" w14:textId="0AAD199D" w:rsidR="00AB65CA" w:rsidRPr="00AB65CA" w:rsidRDefault="00AB65CA" w:rsidP="00AB65CA">
            <w:pPr>
              <w:keepNext/>
              <w:tabs>
                <w:tab w:val="decimal" w:pos="946"/>
              </w:tabs>
              <w:rPr>
                <w:rFonts w:cs="Arial"/>
                <w:color w:val="000000"/>
                <w:szCs w:val="16"/>
              </w:rPr>
            </w:pPr>
            <w:r w:rsidRPr="00AB65CA">
              <w:rPr>
                <w:rFonts w:cs="Arial"/>
                <w:color w:val="000000"/>
                <w:szCs w:val="16"/>
              </w:rPr>
              <w:t>28.98</w:t>
            </w:r>
          </w:p>
        </w:tc>
      </w:tr>
      <w:tr w:rsidR="00AB65CA" w:rsidRPr="00F83501" w14:paraId="4B5BB26D" w14:textId="77777777" w:rsidTr="00E415ED">
        <w:tc>
          <w:tcPr>
            <w:tcW w:w="1334" w:type="pct"/>
            <w:noWrap/>
            <w:hideMark/>
          </w:tcPr>
          <w:p w14:paraId="0A22902F" w14:textId="77777777" w:rsidR="00AB65CA" w:rsidRPr="00B05769" w:rsidRDefault="00AB65CA" w:rsidP="00AB65CA">
            <w:pPr>
              <w:keepNext/>
              <w:rPr>
                <w:rFonts w:cs="Arial"/>
                <w:b/>
                <w:bCs/>
                <w:szCs w:val="16"/>
              </w:rPr>
            </w:pPr>
            <w:r w:rsidRPr="00B05769">
              <w:rPr>
                <w:rFonts w:cs="Arial"/>
                <w:b/>
                <w:bCs/>
                <w:szCs w:val="16"/>
              </w:rPr>
              <w:t>Outcome C\ Category b</w:t>
            </w:r>
          </w:p>
        </w:tc>
        <w:tc>
          <w:tcPr>
            <w:tcW w:w="914" w:type="pct"/>
            <w:noWrap/>
            <w:vAlign w:val="bottom"/>
            <w:hideMark/>
          </w:tcPr>
          <w:p w14:paraId="6B021391" w14:textId="2DBC574E" w:rsidR="00AB65CA" w:rsidRPr="00AB65CA" w:rsidRDefault="00AB65CA" w:rsidP="00AB65CA">
            <w:pPr>
              <w:keepNext/>
              <w:tabs>
                <w:tab w:val="decimal" w:pos="882"/>
              </w:tabs>
              <w:rPr>
                <w:rFonts w:cs="Arial"/>
                <w:color w:val="000000"/>
                <w:szCs w:val="16"/>
              </w:rPr>
            </w:pPr>
            <w:r w:rsidRPr="00AB65CA">
              <w:rPr>
                <w:rFonts w:cs="Arial"/>
                <w:color w:val="000000"/>
                <w:szCs w:val="16"/>
              </w:rPr>
              <w:t>20.98</w:t>
            </w:r>
          </w:p>
        </w:tc>
        <w:tc>
          <w:tcPr>
            <w:tcW w:w="919" w:type="pct"/>
            <w:noWrap/>
            <w:vAlign w:val="bottom"/>
            <w:hideMark/>
          </w:tcPr>
          <w:p w14:paraId="49B5A03B" w14:textId="2D6E18D0" w:rsidR="00AB65CA" w:rsidRPr="00AB65CA" w:rsidRDefault="00AB65CA" w:rsidP="00AB65CA">
            <w:pPr>
              <w:keepNext/>
              <w:tabs>
                <w:tab w:val="decimal" w:pos="886"/>
              </w:tabs>
              <w:rPr>
                <w:rFonts w:cs="Arial"/>
                <w:color w:val="000000"/>
                <w:szCs w:val="16"/>
              </w:rPr>
            </w:pPr>
            <w:r w:rsidRPr="00AB65CA">
              <w:rPr>
                <w:rFonts w:cs="Arial"/>
                <w:color w:val="000000"/>
                <w:szCs w:val="16"/>
              </w:rPr>
              <w:t>8.89</w:t>
            </w:r>
          </w:p>
        </w:tc>
        <w:tc>
          <w:tcPr>
            <w:tcW w:w="920" w:type="pct"/>
            <w:noWrap/>
            <w:vAlign w:val="bottom"/>
            <w:hideMark/>
          </w:tcPr>
          <w:p w14:paraId="57D0C954" w14:textId="73BAB65B" w:rsidR="00AB65CA" w:rsidRPr="00AB65CA" w:rsidRDefault="00AB65CA" w:rsidP="00AB65CA">
            <w:pPr>
              <w:keepNext/>
              <w:tabs>
                <w:tab w:val="decimal" w:pos="886"/>
              </w:tabs>
              <w:rPr>
                <w:rFonts w:cs="Arial"/>
                <w:color w:val="000000"/>
                <w:szCs w:val="16"/>
              </w:rPr>
            </w:pPr>
            <w:r w:rsidRPr="00AB65CA">
              <w:rPr>
                <w:rFonts w:cs="Arial"/>
                <w:color w:val="000000"/>
                <w:szCs w:val="16"/>
              </w:rPr>
              <w:t>3.19</w:t>
            </w:r>
          </w:p>
        </w:tc>
        <w:tc>
          <w:tcPr>
            <w:tcW w:w="913" w:type="pct"/>
            <w:noWrap/>
            <w:vAlign w:val="bottom"/>
            <w:hideMark/>
          </w:tcPr>
          <w:p w14:paraId="7FC889CE" w14:textId="5CF2B63F" w:rsidR="00AB65CA" w:rsidRPr="00AB65CA" w:rsidRDefault="00AB65CA" w:rsidP="00AB65CA">
            <w:pPr>
              <w:keepNext/>
              <w:tabs>
                <w:tab w:val="decimal" w:pos="946"/>
              </w:tabs>
              <w:rPr>
                <w:rFonts w:cs="Arial"/>
                <w:color w:val="000000"/>
                <w:szCs w:val="16"/>
              </w:rPr>
            </w:pPr>
            <w:r w:rsidRPr="00AB65CA">
              <w:rPr>
                <w:rFonts w:cs="Arial"/>
                <w:color w:val="000000"/>
                <w:szCs w:val="16"/>
              </w:rPr>
              <w:t>38.76</w:t>
            </w:r>
          </w:p>
        </w:tc>
      </w:tr>
      <w:tr w:rsidR="00AB65CA" w:rsidRPr="00F83501" w14:paraId="347FD79F" w14:textId="77777777" w:rsidTr="00E415ED">
        <w:tc>
          <w:tcPr>
            <w:tcW w:w="1334" w:type="pct"/>
            <w:noWrap/>
            <w:hideMark/>
          </w:tcPr>
          <w:p w14:paraId="17D8CC8D" w14:textId="77777777" w:rsidR="00AB65CA" w:rsidRPr="00B05769" w:rsidRDefault="00AB65CA" w:rsidP="00AB65CA">
            <w:pPr>
              <w:keepNext/>
              <w:rPr>
                <w:rFonts w:cs="Arial"/>
                <w:b/>
                <w:bCs/>
                <w:szCs w:val="16"/>
              </w:rPr>
            </w:pPr>
            <w:r w:rsidRPr="00B05769">
              <w:rPr>
                <w:rFonts w:cs="Arial"/>
                <w:b/>
                <w:bCs/>
                <w:szCs w:val="16"/>
              </w:rPr>
              <w:t>Outcome C\ Category c</w:t>
            </w:r>
          </w:p>
        </w:tc>
        <w:tc>
          <w:tcPr>
            <w:tcW w:w="914" w:type="pct"/>
            <w:noWrap/>
            <w:vAlign w:val="bottom"/>
            <w:hideMark/>
          </w:tcPr>
          <w:p w14:paraId="732C059A" w14:textId="66466C05" w:rsidR="00AB65CA" w:rsidRPr="00AB65CA" w:rsidRDefault="00AB65CA" w:rsidP="00AB65CA">
            <w:pPr>
              <w:keepNext/>
              <w:tabs>
                <w:tab w:val="decimal" w:pos="882"/>
              </w:tabs>
              <w:rPr>
                <w:rFonts w:cs="Arial"/>
                <w:color w:val="000000"/>
                <w:szCs w:val="16"/>
              </w:rPr>
            </w:pPr>
            <w:r w:rsidRPr="00AB65CA">
              <w:rPr>
                <w:rFonts w:cs="Arial"/>
                <w:color w:val="000000"/>
                <w:szCs w:val="16"/>
              </w:rPr>
              <w:t>23.49</w:t>
            </w:r>
          </w:p>
        </w:tc>
        <w:tc>
          <w:tcPr>
            <w:tcW w:w="919" w:type="pct"/>
            <w:noWrap/>
            <w:vAlign w:val="bottom"/>
            <w:hideMark/>
          </w:tcPr>
          <w:p w14:paraId="7ADFD09D" w14:textId="36AAF38D" w:rsidR="00AB65CA" w:rsidRPr="00AB65CA" w:rsidRDefault="00AB65CA" w:rsidP="00AB65CA">
            <w:pPr>
              <w:keepNext/>
              <w:tabs>
                <w:tab w:val="decimal" w:pos="886"/>
              </w:tabs>
              <w:rPr>
                <w:rFonts w:cs="Arial"/>
                <w:color w:val="000000"/>
                <w:szCs w:val="16"/>
              </w:rPr>
            </w:pPr>
            <w:r w:rsidRPr="00AB65CA">
              <w:rPr>
                <w:rFonts w:cs="Arial"/>
                <w:color w:val="000000"/>
                <w:szCs w:val="16"/>
              </w:rPr>
              <w:t>13.59</w:t>
            </w:r>
          </w:p>
        </w:tc>
        <w:tc>
          <w:tcPr>
            <w:tcW w:w="920" w:type="pct"/>
            <w:noWrap/>
            <w:vAlign w:val="bottom"/>
            <w:hideMark/>
          </w:tcPr>
          <w:p w14:paraId="775317FC" w14:textId="574E4C1A" w:rsidR="00AB65CA" w:rsidRPr="00AB65CA" w:rsidRDefault="00AB65CA" w:rsidP="00AB65CA">
            <w:pPr>
              <w:keepNext/>
              <w:tabs>
                <w:tab w:val="decimal" w:pos="886"/>
              </w:tabs>
              <w:rPr>
                <w:rFonts w:cs="Arial"/>
                <w:color w:val="000000"/>
                <w:szCs w:val="16"/>
              </w:rPr>
            </w:pPr>
            <w:r w:rsidRPr="00AB65CA">
              <w:rPr>
                <w:rFonts w:cs="Arial"/>
                <w:color w:val="000000"/>
                <w:szCs w:val="16"/>
              </w:rPr>
              <w:t>-3.68</w:t>
            </w:r>
          </w:p>
        </w:tc>
        <w:tc>
          <w:tcPr>
            <w:tcW w:w="913" w:type="pct"/>
            <w:noWrap/>
            <w:vAlign w:val="bottom"/>
            <w:hideMark/>
          </w:tcPr>
          <w:p w14:paraId="49CC0F9D" w14:textId="71CA6027" w:rsidR="00AB65CA" w:rsidRPr="00AB65CA" w:rsidRDefault="00AB65CA" w:rsidP="00AB65CA">
            <w:pPr>
              <w:keepNext/>
              <w:tabs>
                <w:tab w:val="decimal" w:pos="946"/>
              </w:tabs>
              <w:rPr>
                <w:rFonts w:cs="Arial"/>
                <w:color w:val="000000"/>
                <w:szCs w:val="16"/>
              </w:rPr>
            </w:pPr>
            <w:r w:rsidRPr="00AB65CA">
              <w:rPr>
                <w:rFonts w:cs="Arial"/>
                <w:color w:val="000000"/>
                <w:szCs w:val="16"/>
              </w:rPr>
              <w:t>50.66</w:t>
            </w:r>
          </w:p>
        </w:tc>
      </w:tr>
      <w:tr w:rsidR="00AB65CA" w:rsidRPr="00F83501" w14:paraId="226F2021" w14:textId="77777777" w:rsidTr="00E415ED">
        <w:tc>
          <w:tcPr>
            <w:tcW w:w="1334" w:type="pct"/>
            <w:noWrap/>
            <w:hideMark/>
          </w:tcPr>
          <w:p w14:paraId="277FC395" w14:textId="77777777" w:rsidR="00AB65CA" w:rsidRPr="00B05769" w:rsidRDefault="00AB65CA" w:rsidP="00AB65CA">
            <w:pPr>
              <w:keepNext/>
              <w:rPr>
                <w:rFonts w:cs="Arial"/>
                <w:b/>
                <w:bCs/>
                <w:szCs w:val="16"/>
              </w:rPr>
            </w:pPr>
            <w:r w:rsidRPr="00B05769">
              <w:rPr>
                <w:rFonts w:cs="Arial"/>
                <w:b/>
                <w:bCs/>
                <w:szCs w:val="16"/>
              </w:rPr>
              <w:t>Outcome C\ Category d</w:t>
            </w:r>
          </w:p>
        </w:tc>
        <w:tc>
          <w:tcPr>
            <w:tcW w:w="914" w:type="pct"/>
            <w:noWrap/>
            <w:vAlign w:val="bottom"/>
            <w:hideMark/>
          </w:tcPr>
          <w:p w14:paraId="6B7EF648" w14:textId="7BD7A8C8" w:rsidR="00AB65CA" w:rsidRPr="00AB65CA" w:rsidRDefault="00AB65CA" w:rsidP="00AB65CA">
            <w:pPr>
              <w:keepNext/>
              <w:tabs>
                <w:tab w:val="decimal" w:pos="882"/>
              </w:tabs>
              <w:rPr>
                <w:rFonts w:cs="Arial"/>
                <w:color w:val="000000"/>
                <w:szCs w:val="16"/>
              </w:rPr>
            </w:pPr>
            <w:r w:rsidRPr="00AB65CA">
              <w:rPr>
                <w:rFonts w:cs="Arial"/>
                <w:color w:val="000000"/>
                <w:szCs w:val="16"/>
              </w:rPr>
              <w:t>33.36</w:t>
            </w:r>
          </w:p>
        </w:tc>
        <w:tc>
          <w:tcPr>
            <w:tcW w:w="919" w:type="pct"/>
            <w:noWrap/>
            <w:vAlign w:val="bottom"/>
            <w:hideMark/>
          </w:tcPr>
          <w:p w14:paraId="00BB091E" w14:textId="1B730129" w:rsidR="00AB65CA" w:rsidRPr="00AB65CA" w:rsidRDefault="00AB65CA" w:rsidP="00AB65CA">
            <w:pPr>
              <w:keepNext/>
              <w:tabs>
                <w:tab w:val="decimal" w:pos="886"/>
              </w:tabs>
              <w:rPr>
                <w:rFonts w:cs="Arial"/>
                <w:color w:val="000000"/>
                <w:szCs w:val="16"/>
              </w:rPr>
            </w:pPr>
            <w:r w:rsidRPr="00AB65CA">
              <w:rPr>
                <w:rFonts w:cs="Arial"/>
                <w:color w:val="000000"/>
                <w:szCs w:val="16"/>
              </w:rPr>
              <w:t>8.28</w:t>
            </w:r>
          </w:p>
        </w:tc>
        <w:tc>
          <w:tcPr>
            <w:tcW w:w="920" w:type="pct"/>
            <w:noWrap/>
            <w:vAlign w:val="bottom"/>
            <w:hideMark/>
          </w:tcPr>
          <w:p w14:paraId="2259792D" w14:textId="26004927" w:rsidR="00AB65CA" w:rsidRPr="00AB65CA" w:rsidRDefault="00AB65CA" w:rsidP="00AB65CA">
            <w:pPr>
              <w:keepNext/>
              <w:tabs>
                <w:tab w:val="decimal" w:pos="886"/>
              </w:tabs>
              <w:rPr>
                <w:rFonts w:cs="Arial"/>
                <w:color w:val="000000"/>
                <w:szCs w:val="16"/>
              </w:rPr>
            </w:pPr>
            <w:r w:rsidRPr="00AB65CA">
              <w:rPr>
                <w:rFonts w:cs="Arial"/>
                <w:color w:val="000000"/>
                <w:szCs w:val="16"/>
              </w:rPr>
              <w:t>16.8</w:t>
            </w:r>
          </w:p>
        </w:tc>
        <w:tc>
          <w:tcPr>
            <w:tcW w:w="913" w:type="pct"/>
            <w:noWrap/>
            <w:vAlign w:val="bottom"/>
            <w:hideMark/>
          </w:tcPr>
          <w:p w14:paraId="5D8A6C71" w14:textId="74032D0A" w:rsidR="00AB65CA" w:rsidRPr="00AB65CA" w:rsidRDefault="00AB65CA" w:rsidP="00AB65CA">
            <w:pPr>
              <w:keepNext/>
              <w:tabs>
                <w:tab w:val="decimal" w:pos="946"/>
              </w:tabs>
              <w:rPr>
                <w:rFonts w:cs="Arial"/>
                <w:color w:val="000000"/>
                <w:szCs w:val="16"/>
              </w:rPr>
            </w:pPr>
            <w:r w:rsidRPr="00AB65CA">
              <w:rPr>
                <w:rFonts w:cs="Arial"/>
                <w:color w:val="000000"/>
                <w:szCs w:val="16"/>
              </w:rPr>
              <w:t>49.93</w:t>
            </w:r>
          </w:p>
        </w:tc>
      </w:tr>
      <w:tr w:rsidR="00AB65CA" w:rsidRPr="00F83501" w14:paraId="5F41BC1C" w14:textId="77777777" w:rsidTr="00E415ED">
        <w:tc>
          <w:tcPr>
            <w:tcW w:w="1334" w:type="pct"/>
            <w:noWrap/>
            <w:hideMark/>
          </w:tcPr>
          <w:p w14:paraId="1C305188" w14:textId="77777777" w:rsidR="00AB65CA" w:rsidRPr="00B05769" w:rsidRDefault="00AB65CA" w:rsidP="00AB65CA">
            <w:pPr>
              <w:rPr>
                <w:rFonts w:cs="Arial"/>
                <w:b/>
                <w:bCs/>
                <w:szCs w:val="16"/>
              </w:rPr>
            </w:pPr>
            <w:r w:rsidRPr="00B05769">
              <w:rPr>
                <w:rFonts w:cs="Arial"/>
                <w:b/>
                <w:bCs/>
                <w:szCs w:val="16"/>
              </w:rPr>
              <w:t>Outcome C\ Category e</w:t>
            </w:r>
          </w:p>
        </w:tc>
        <w:tc>
          <w:tcPr>
            <w:tcW w:w="914" w:type="pct"/>
            <w:noWrap/>
            <w:vAlign w:val="bottom"/>
            <w:hideMark/>
          </w:tcPr>
          <w:p w14:paraId="04B48316" w14:textId="38E3CA99" w:rsidR="00AB65CA" w:rsidRPr="00AB65CA" w:rsidRDefault="00AB65CA" w:rsidP="00AB65CA">
            <w:pPr>
              <w:keepNext/>
              <w:tabs>
                <w:tab w:val="decimal" w:pos="882"/>
              </w:tabs>
              <w:rPr>
                <w:rFonts w:cs="Arial"/>
                <w:color w:val="000000"/>
                <w:szCs w:val="16"/>
              </w:rPr>
            </w:pPr>
            <w:r w:rsidRPr="00AB65CA">
              <w:rPr>
                <w:rFonts w:cs="Arial"/>
                <w:color w:val="000000"/>
                <w:szCs w:val="16"/>
              </w:rPr>
              <w:t>20.91</w:t>
            </w:r>
          </w:p>
        </w:tc>
        <w:tc>
          <w:tcPr>
            <w:tcW w:w="919" w:type="pct"/>
            <w:noWrap/>
            <w:vAlign w:val="bottom"/>
            <w:hideMark/>
          </w:tcPr>
          <w:p w14:paraId="1C158AB5" w14:textId="15E03410" w:rsidR="00AB65CA" w:rsidRPr="00AB65CA" w:rsidRDefault="00AB65CA" w:rsidP="00AB65CA">
            <w:pPr>
              <w:keepNext/>
              <w:tabs>
                <w:tab w:val="decimal" w:pos="886"/>
              </w:tabs>
              <w:rPr>
                <w:rFonts w:cs="Arial"/>
                <w:color w:val="000000"/>
                <w:szCs w:val="16"/>
              </w:rPr>
            </w:pPr>
            <w:r w:rsidRPr="00AB65CA">
              <w:rPr>
                <w:rFonts w:cs="Arial"/>
                <w:color w:val="000000"/>
                <w:szCs w:val="16"/>
              </w:rPr>
              <w:t>15.22</w:t>
            </w:r>
          </w:p>
        </w:tc>
        <w:tc>
          <w:tcPr>
            <w:tcW w:w="920" w:type="pct"/>
            <w:noWrap/>
            <w:vAlign w:val="bottom"/>
            <w:hideMark/>
          </w:tcPr>
          <w:p w14:paraId="0176FF93" w14:textId="553A138A" w:rsidR="00AB65CA" w:rsidRPr="00AB65CA" w:rsidRDefault="00AB65CA" w:rsidP="00AB65CA">
            <w:pPr>
              <w:keepNext/>
              <w:tabs>
                <w:tab w:val="decimal" w:pos="886"/>
              </w:tabs>
              <w:rPr>
                <w:rFonts w:cs="Arial"/>
                <w:color w:val="000000"/>
                <w:szCs w:val="16"/>
              </w:rPr>
            </w:pPr>
            <w:r w:rsidRPr="00AB65CA">
              <w:rPr>
                <w:rFonts w:cs="Arial"/>
                <w:color w:val="000000"/>
                <w:szCs w:val="16"/>
              </w:rPr>
              <w:t>-9.53</w:t>
            </w:r>
          </w:p>
        </w:tc>
        <w:tc>
          <w:tcPr>
            <w:tcW w:w="913" w:type="pct"/>
            <w:noWrap/>
            <w:vAlign w:val="bottom"/>
            <w:hideMark/>
          </w:tcPr>
          <w:p w14:paraId="4D375842" w14:textId="300C8B25" w:rsidR="00AB65CA" w:rsidRPr="00AB65CA" w:rsidRDefault="00AB65CA" w:rsidP="00AB65CA">
            <w:pPr>
              <w:keepNext/>
              <w:tabs>
                <w:tab w:val="decimal" w:pos="946"/>
              </w:tabs>
              <w:rPr>
                <w:rFonts w:cs="Arial"/>
                <w:color w:val="000000"/>
                <w:szCs w:val="16"/>
              </w:rPr>
            </w:pPr>
            <w:r w:rsidRPr="00AB65CA">
              <w:rPr>
                <w:rFonts w:cs="Arial"/>
                <w:color w:val="000000"/>
                <w:szCs w:val="16"/>
              </w:rPr>
              <w:t>51.35</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424A0B3C" w:rsidR="00B25161" w:rsidRPr="00B25161" w:rsidRDefault="00B25161" w:rsidP="00B25161">
      <w:pPr>
        <w:rPr>
          <w:rFonts w:cs="Arial"/>
          <w:b/>
          <w:bCs/>
          <w:szCs w:val="16"/>
        </w:rPr>
      </w:pPr>
      <w:r w:rsidRPr="00B25161">
        <w:rPr>
          <w:rFonts w:cs="Arial"/>
          <w:b/>
          <w:bCs/>
          <w:szCs w:val="16"/>
        </w:rPr>
        <w:t>Anomalies in Your State’s Outcomes Data FFY 2022</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579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12</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105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78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363</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2.07%</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18.13%</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3.63%</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13.47%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62.69%</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0</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8</w:t>
            </w:r>
          </w:p>
        </w:tc>
        <w:tc>
          <w:tcPr>
            <w:tcW w:w="833" w:type="pct"/>
          </w:tcPr>
          <w:p w14:paraId="6AACF40D" w14:textId="77777777" w:rsidR="00B25161" w:rsidRPr="00E0465B" w:rsidRDefault="00B25161" w:rsidP="00B25161">
            <w:pPr>
              <w:rPr>
                <w:rFonts w:cs="Arial"/>
                <w:bCs/>
                <w:szCs w:val="16"/>
              </w:rPr>
            </w:pPr>
            <w:r w:rsidRPr="00E0465B">
              <w:rPr>
                <w:rFonts w:cs="Arial"/>
                <w:bCs/>
                <w:szCs w:val="16"/>
              </w:rPr>
              <w:t>99</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118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239</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115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1.38%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17.10%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20.38%</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41.28%</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19.86%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110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182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232</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9.50%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19.00%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31.43%</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40.07%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1DB86070" w:rsidR="009F37D6" w:rsidRPr="009F37D6" w:rsidRDefault="009F37D6" w:rsidP="009F37D6">
      <w:pPr>
        <w:rPr>
          <w:rFonts w:cs="Arial"/>
          <w:b/>
          <w:bCs/>
          <w:szCs w:val="16"/>
        </w:rPr>
      </w:pPr>
      <w:r w:rsidRPr="009F37D6">
        <w:rPr>
          <w:rFonts w:cs="Arial"/>
          <w:b/>
          <w:bCs/>
          <w:szCs w:val="16"/>
        </w:rPr>
        <w:t>Comparing Your State’s 2022 Outcomes Data to Other States’ 2022 Outcome Data</w:t>
      </w:r>
    </w:p>
    <w:p w14:paraId="78086C37" w14:textId="05A34617" w:rsidR="009F37D6" w:rsidRPr="00A67CEE" w:rsidRDefault="009F37D6" w:rsidP="009F37D6">
      <w:pPr>
        <w:rPr>
          <w:rFonts w:cs="Arial"/>
          <w:bCs/>
          <w:szCs w:val="16"/>
        </w:rPr>
      </w:pPr>
      <w:r w:rsidRPr="00A67CEE">
        <w:rPr>
          <w:rFonts w:cs="Arial"/>
          <w:bCs/>
          <w:szCs w:val="16"/>
        </w:rPr>
        <w:t xml:space="preserve">This score represents how your State's FFY 2022 Outcomes data compares to other States' FFY 2022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 (values are based on data for States with a summary statement denominator greater than 199 </w:t>
      </w:r>
      <w:proofErr w:type="spellStart"/>
      <w:r w:rsidRPr="00A67CEE">
        <w:rPr>
          <w:rFonts w:cs="Arial"/>
          <w:bCs/>
          <w:szCs w:val="16"/>
        </w:rPr>
        <w:t>exiters</w:t>
      </w:r>
      <w:proofErr w:type="spellEnd"/>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7FA533F3"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2022</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45.63%</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35.29%</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54.05%</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27.07%</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51.93%</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33.56%</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82.58%</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69.37%</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81.10%</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56.55%</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85.30%</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71.29%</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7FC6DD65" w:rsidR="009F37D6" w:rsidRPr="009F37D6" w:rsidRDefault="009F37D6" w:rsidP="009F37D6">
      <w:pPr>
        <w:rPr>
          <w:rFonts w:cs="Arial"/>
          <w:b/>
          <w:bCs/>
          <w:szCs w:val="16"/>
        </w:rPr>
      </w:pPr>
      <w:r w:rsidRPr="009F37D6">
        <w:rPr>
          <w:rFonts w:cs="Arial"/>
          <w:b/>
          <w:bCs/>
          <w:szCs w:val="16"/>
        </w:rPr>
        <w:t>Your State’s Summary Statement Performance FFY 2022</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45.83%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76.17%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76.94%</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61.14%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84.15%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71.50%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9</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23CD0695" w:rsidR="001E51FC" w:rsidRPr="001E51FC" w:rsidRDefault="001E51FC" w:rsidP="001E51FC">
      <w:pPr>
        <w:rPr>
          <w:rFonts w:cs="Arial"/>
          <w:b/>
          <w:bCs/>
          <w:szCs w:val="16"/>
        </w:rPr>
      </w:pPr>
      <w:r w:rsidRPr="001E51FC">
        <w:rPr>
          <w:rFonts w:cs="Arial"/>
          <w:b/>
          <w:bCs/>
          <w:szCs w:val="16"/>
        </w:rPr>
        <w:t>Comparing your State’s FFY 202</w:t>
      </w:r>
      <w:r w:rsidR="009E50A6">
        <w:rPr>
          <w:rFonts w:cs="Arial"/>
          <w:b/>
          <w:bCs/>
          <w:szCs w:val="16"/>
        </w:rPr>
        <w:t>2</w:t>
      </w:r>
      <w:r w:rsidRPr="001E51FC">
        <w:rPr>
          <w:rFonts w:cs="Arial"/>
          <w:b/>
          <w:bCs/>
          <w:szCs w:val="16"/>
        </w:rPr>
        <w:t xml:space="preserve"> data to your State’s FFY 202</w:t>
      </w:r>
      <w:r w:rsidR="009E50A6">
        <w:rPr>
          <w:rFonts w:cs="Arial"/>
          <w:b/>
          <w:bCs/>
          <w:szCs w:val="16"/>
        </w:rPr>
        <w:t>1</w:t>
      </w:r>
      <w:r w:rsidRPr="001E51FC">
        <w:rPr>
          <w:rFonts w:cs="Arial"/>
          <w:b/>
          <w:bCs/>
          <w:szCs w:val="16"/>
        </w:rPr>
        <w:t xml:space="preserve"> data</w:t>
      </w:r>
    </w:p>
    <w:p w14:paraId="341BD6C7" w14:textId="72F93451"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2021) is compared to the current year (FFY 2022)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6480A402"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 All values are shown as rounded for display purposes.</w:t>
      </w:r>
    </w:p>
    <w:p w14:paraId="0BBD088B" w14:textId="77777777" w:rsidR="00A67CEE" w:rsidRDefault="00A67CEE" w:rsidP="001E51FC">
      <w:pPr>
        <w:rPr>
          <w:rFonts w:cs="Arial"/>
          <w:bCs/>
          <w:szCs w:val="16"/>
        </w:rPr>
      </w:pPr>
    </w:p>
    <w:p w14:paraId="373542AE" w14:textId="38A97E24" w:rsidR="007B0FF2" w:rsidRPr="00A67CEE" w:rsidRDefault="007B0FF2" w:rsidP="007B0FF2">
      <w:pPr>
        <w:rPr>
          <w:rFonts w:cs="Arial"/>
          <w:bCs/>
          <w:szCs w:val="16"/>
        </w:rPr>
      </w:pPr>
      <w:r w:rsidRPr="00A67CEE">
        <w:rPr>
          <w:rFonts w:cs="Arial"/>
          <w:bCs/>
          <w:szCs w:val="16"/>
        </w:rPr>
        <w:t>Step 1: Compute the difference between the FFY 2022 and FFY 2021 summary statements.</w:t>
      </w:r>
    </w:p>
    <w:p w14:paraId="114BDD3D" w14:textId="438F460A" w:rsidR="007B0FF2" w:rsidRPr="00A67CEE" w:rsidRDefault="007B0FF2" w:rsidP="007B0FF2">
      <w:pPr>
        <w:ind w:firstLine="720"/>
        <w:rPr>
          <w:rFonts w:cs="Arial"/>
          <w:bCs/>
          <w:szCs w:val="16"/>
        </w:rPr>
      </w:pPr>
      <w:r w:rsidRPr="00A67CEE">
        <w:rPr>
          <w:rFonts w:cs="Arial"/>
          <w:bCs/>
          <w:szCs w:val="16"/>
        </w:rPr>
        <w:t>e.g., C3A FFY2022% - C3A FFY2021% = Difference in proportions</w:t>
      </w:r>
    </w:p>
    <w:p w14:paraId="26732057" w14:textId="77777777" w:rsidR="007B0FF2" w:rsidRDefault="007B0FF2" w:rsidP="007B0FF2">
      <w:pPr>
        <w:rPr>
          <w:rFonts w:cs="Arial"/>
          <w:bCs/>
          <w:szCs w:val="16"/>
        </w:rPr>
      </w:pPr>
    </w:p>
    <w:p w14:paraId="4E6FA3E0" w14:textId="63C480DF" w:rsidR="006F3905" w:rsidRPr="006F3905" w:rsidRDefault="007B0FF2" w:rsidP="006F3905">
      <w:pPr>
        <w:spacing w:after="120"/>
        <w:ind w:left="720" w:hanging="720"/>
        <w:rPr>
          <w:rFonts w:cs="Arial"/>
          <w:szCs w:val="16"/>
        </w:rPr>
      </w:pPr>
      <w:r w:rsidRPr="00A67CEE">
        <w:rPr>
          <w:rFonts w:cs="Arial"/>
          <w:bCs/>
          <w:szCs w:val="16"/>
        </w:rPr>
        <w:t xml:space="preserve">Step 2: </w:t>
      </w:r>
      <w:r w:rsidRPr="006F3905">
        <w:rPr>
          <w:rFonts w:cs="Arial"/>
          <w:szCs w:val="16"/>
        </w:rPr>
        <w:t xml:space="preserve">Compute the standard error of the difference in proportions using the following formula which takes into account the value of the summary statement from both years and the number of children that the summary statement is based </w:t>
      </w:r>
      <w:proofErr w:type="gramStart"/>
      <w:r w:rsidRPr="006F3905">
        <w:rPr>
          <w:rFonts w:cs="Arial"/>
          <w:szCs w:val="16"/>
        </w:rPr>
        <w:t>on</w:t>
      </w:r>
      <w:proofErr w:type="gramEnd"/>
    </w:p>
    <w:p w14:paraId="54D4DC4A" w14:textId="7664AE56" w:rsidR="007B0FF2" w:rsidRPr="006F3905" w:rsidRDefault="006F3905" w:rsidP="006F3905">
      <w:pPr>
        <w:ind w:left="720"/>
        <w:rPr>
          <w:rFonts w:cs="Arial"/>
          <w:color w:val="000000" w:themeColor="text1"/>
          <w:szCs w:val="16"/>
        </w:rPr>
      </w:pPr>
      <w:proofErr w:type="gramStart"/>
      <w:r w:rsidRPr="0001214A">
        <w:rPr>
          <w:rFonts w:cs="Arial"/>
          <w:color w:val="000000" w:themeColor="text1"/>
          <w:szCs w:val="16"/>
        </w:rPr>
        <w:t>Sqrt[</w:t>
      </w:r>
      <w:proofErr w:type="gramEnd"/>
      <w:r w:rsidRPr="0001214A">
        <w:rPr>
          <w:rFonts w:cs="Arial"/>
          <w:color w:val="000000" w:themeColor="text1"/>
          <w:szCs w:val="16"/>
        </w:rPr>
        <w:t>([FFY202</w:t>
      </w:r>
      <w:r w:rsidR="00AB65CA">
        <w:rPr>
          <w:rFonts w:cs="Arial"/>
          <w:color w:val="000000" w:themeColor="text1"/>
          <w:szCs w:val="16"/>
        </w:rPr>
        <w:t>1</w:t>
      </w:r>
      <w:r w:rsidRPr="0001214A">
        <w:rPr>
          <w:rFonts w:cs="Arial"/>
          <w:color w:val="000000" w:themeColor="text1"/>
          <w:szCs w:val="16"/>
        </w:rPr>
        <w:t>% * (1-FFY202</w:t>
      </w:r>
      <w:r w:rsidR="00AB65CA">
        <w:rPr>
          <w:rFonts w:cs="Arial"/>
          <w:color w:val="000000" w:themeColor="text1"/>
          <w:szCs w:val="16"/>
        </w:rPr>
        <w:t>1</w:t>
      </w:r>
      <w:r w:rsidRPr="0001214A">
        <w:rPr>
          <w:rFonts w:cs="Arial"/>
          <w:color w:val="000000" w:themeColor="text1"/>
          <w:szCs w:val="16"/>
        </w:rPr>
        <w:t>%)] / FFY202</w:t>
      </w:r>
      <w:r w:rsidR="00AB65CA">
        <w:rPr>
          <w:rFonts w:cs="Arial"/>
          <w:color w:val="000000" w:themeColor="text1"/>
          <w:szCs w:val="16"/>
        </w:rPr>
        <w:t>1</w:t>
      </w:r>
      <w:r w:rsidRPr="0001214A">
        <w:rPr>
          <w:rFonts w:cs="Arial"/>
          <w:color w:val="000000" w:themeColor="text1"/>
          <w:szCs w:val="16"/>
        </w:rPr>
        <w:t>N) + ([FFY202</w:t>
      </w:r>
      <w:r w:rsidR="00AB65CA">
        <w:rPr>
          <w:rFonts w:cs="Arial"/>
          <w:color w:val="000000" w:themeColor="text1"/>
          <w:szCs w:val="16"/>
        </w:rPr>
        <w:t>2</w:t>
      </w:r>
      <w:r w:rsidRPr="0001214A">
        <w:rPr>
          <w:rFonts w:cs="Arial"/>
          <w:color w:val="000000" w:themeColor="text1"/>
          <w:szCs w:val="16"/>
        </w:rPr>
        <w:t>% * (1-FFY202</w:t>
      </w:r>
      <w:r w:rsidR="00AB65CA">
        <w:rPr>
          <w:rFonts w:cs="Arial"/>
          <w:color w:val="000000" w:themeColor="text1"/>
          <w:szCs w:val="16"/>
        </w:rPr>
        <w:t>2</w:t>
      </w:r>
      <w:r w:rsidRPr="0001214A">
        <w:rPr>
          <w:rFonts w:cs="Arial"/>
          <w:color w:val="000000" w:themeColor="text1"/>
          <w:szCs w:val="16"/>
        </w:rPr>
        <w:t>%)] / FFY202</w:t>
      </w:r>
      <w:r w:rsidR="00AB65CA">
        <w:rPr>
          <w:rFonts w:cs="Arial"/>
          <w:color w:val="000000" w:themeColor="text1"/>
          <w:szCs w:val="16"/>
        </w:rPr>
        <w:t>2</w:t>
      </w:r>
      <w:r w:rsidRPr="0001214A">
        <w:rPr>
          <w:rFonts w:cs="Arial"/>
          <w:color w:val="000000" w:themeColor="text1"/>
          <w:szCs w:val="16"/>
        </w:rPr>
        <w:t>N)] = Standard Error of Difference in Proportions</w:t>
      </w:r>
    </w:p>
    <w:p w14:paraId="6B46120F" w14:textId="77777777" w:rsidR="006F3905" w:rsidRPr="0001214A" w:rsidRDefault="006F3905" w:rsidP="0001214A">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 xml:space="preserve">Step 3: The difference in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BAE10B7" w:rsidR="007B0FF2" w:rsidRPr="00333DBB" w:rsidRDefault="007B0FF2" w:rsidP="007B0FF2">
      <w:pPr>
        <w:spacing w:after="0"/>
        <w:ind w:left="720"/>
        <w:rPr>
          <w:szCs w:val="16"/>
        </w:rPr>
      </w:pPr>
      <w:r w:rsidRPr="00333DBB">
        <w:rPr>
          <w:szCs w:val="16"/>
        </w:rPr>
        <w:t>0 = statistically significant decrease from FFY 2021 to FFY 2022</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037058BF" w:rsidR="007B0FF2" w:rsidRPr="00333DBB" w:rsidRDefault="007B0FF2" w:rsidP="007B0FF2">
      <w:pPr>
        <w:ind w:left="720"/>
        <w:rPr>
          <w:szCs w:val="16"/>
        </w:rPr>
      </w:pPr>
      <w:r w:rsidRPr="00333DBB">
        <w:rPr>
          <w:szCs w:val="16"/>
        </w:rPr>
        <w:t>2= statistically significant increase from FFY 2021 to FFY 2022</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 Child Outcome</w:t>
            </w:r>
          </w:p>
        </w:tc>
        <w:tc>
          <w:tcPr>
            <w:tcW w:w="409" w:type="pct"/>
          </w:tcPr>
          <w:p w14:paraId="6FF1FC19" w14:textId="08094399" w:rsidR="002163B7" w:rsidRPr="002163B7" w:rsidRDefault="002163B7" w:rsidP="002163B7">
            <w:pPr>
              <w:rPr>
                <w:rFonts w:cs="Arial"/>
                <w:b/>
                <w:bCs/>
                <w:szCs w:val="16"/>
              </w:rPr>
            </w:pPr>
            <w:r w:rsidRPr="002163B7">
              <w:rPr>
                <w:rFonts w:cs="Arial"/>
                <w:b/>
                <w:bCs/>
                <w:szCs w:val="16"/>
              </w:rPr>
              <w:t>FFY 2021 N</w:t>
            </w:r>
          </w:p>
        </w:tc>
        <w:tc>
          <w:tcPr>
            <w:tcW w:w="451" w:type="pct"/>
          </w:tcPr>
          <w:p w14:paraId="31613D59" w14:textId="6672FE80" w:rsidR="002163B7" w:rsidRPr="002163B7" w:rsidRDefault="002163B7" w:rsidP="002163B7">
            <w:pPr>
              <w:rPr>
                <w:rFonts w:cs="Arial"/>
                <w:b/>
                <w:bCs/>
                <w:szCs w:val="16"/>
              </w:rPr>
            </w:pPr>
            <w:r w:rsidRPr="002163B7">
              <w:rPr>
                <w:rFonts w:cs="Arial"/>
                <w:b/>
                <w:bCs/>
                <w:szCs w:val="16"/>
              </w:rPr>
              <w:t>FFY 2021 Summary Statement (%)</w:t>
            </w:r>
          </w:p>
        </w:tc>
        <w:tc>
          <w:tcPr>
            <w:tcW w:w="409" w:type="pct"/>
          </w:tcPr>
          <w:p w14:paraId="7A7B5951" w14:textId="649A5DFF" w:rsidR="002163B7" w:rsidRPr="002163B7" w:rsidRDefault="002163B7" w:rsidP="002163B7">
            <w:pPr>
              <w:rPr>
                <w:rFonts w:cs="Arial"/>
                <w:b/>
                <w:bCs/>
                <w:szCs w:val="16"/>
              </w:rPr>
            </w:pPr>
            <w:r w:rsidRPr="002163B7">
              <w:rPr>
                <w:rFonts w:cs="Arial"/>
                <w:b/>
                <w:bCs/>
                <w:szCs w:val="16"/>
              </w:rPr>
              <w:t>FFY 2022 N</w:t>
            </w:r>
          </w:p>
        </w:tc>
        <w:tc>
          <w:tcPr>
            <w:tcW w:w="451" w:type="pct"/>
          </w:tcPr>
          <w:p w14:paraId="691E7E65" w14:textId="1114F640" w:rsidR="002163B7" w:rsidRPr="002163B7" w:rsidRDefault="002163B7" w:rsidP="002163B7">
            <w:pPr>
              <w:rPr>
                <w:rFonts w:cs="Arial"/>
                <w:b/>
                <w:bCs/>
                <w:szCs w:val="16"/>
              </w:rPr>
            </w:pPr>
            <w:r w:rsidRPr="002163B7">
              <w:rPr>
                <w:rFonts w:cs="Arial"/>
                <w:b/>
                <w:bCs/>
                <w:szCs w:val="16"/>
              </w:rPr>
              <w:t>FFY 2022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5F567C41" w:rsidR="002163B7" w:rsidRPr="002163B7" w:rsidRDefault="002163B7" w:rsidP="002163B7">
            <w:pPr>
              <w:rPr>
                <w:rFonts w:cs="Arial"/>
                <w:b/>
                <w:bCs/>
                <w:szCs w:val="16"/>
              </w:rPr>
            </w:pPr>
            <w:r w:rsidRPr="002163B7">
              <w:rPr>
                <w:rFonts w:cs="Arial"/>
                <w:b/>
                <w:bCs/>
                <w:szCs w:val="16"/>
              </w:rPr>
              <w:t>Score: 0 = significant decrease; 1 = no significant change;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233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38.63%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216</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45.83%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7.21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0.0465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1.5482</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0.1216</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418</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74.16%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464</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76.94%</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2.78</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0.0290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0.9577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0.3382</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267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88.76%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347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84.15%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-4.61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0.0275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-1.6760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0.0937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541</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71.35%</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579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76.17%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4.82</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0.0263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1.8317</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0.067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541</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57.30%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579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61.14%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3.84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0.0294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1.3070</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0.1912</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541</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77.82%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579</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71.50%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-6.32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0.0259</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-2.4384</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0.0148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5</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0AB4D663" w14:textId="77777777" w:rsidR="000D7F9F" w:rsidRPr="000D7F9F" w:rsidRDefault="000D7F9F" w:rsidP="000D7F9F">
      <w:pPr>
        <w:rPr>
          <w:b/>
          <w:bCs/>
          <w:sz w:val="18"/>
          <w:szCs w:val="18"/>
        </w:rPr>
      </w:pPr>
      <w:r w:rsidRPr="000D7F9F">
        <w:rPr>
          <w:b/>
          <w:bCs/>
          <w:sz w:val="18"/>
          <w:szCs w:val="18"/>
        </w:rPr>
        <w:t>South Dakota</w:t>
      </w:r>
    </w:p>
    <w:p w14:paraId="4FA14AEC" w14:textId="77777777" w:rsidR="00BB2AAF" w:rsidRDefault="00BB2AAF" w:rsidP="00976350">
      <w:pPr>
        <w:rPr>
          <w:b/>
          <w:bCs/>
        </w:rPr>
      </w:pPr>
    </w:p>
    <w:p w14:paraId="60B91978" w14:textId="0490E4C6" w:rsidR="00DC6D97" w:rsidRPr="004227F4" w:rsidRDefault="003445A2" w:rsidP="00976350">
      <w:pPr>
        <w:rPr>
          <w:b/>
          <w:bCs/>
          <w:szCs w:val="16"/>
        </w:rPr>
      </w:pPr>
      <w:r w:rsidRPr="006B69D7">
        <w:rPr>
          <w:b/>
          <w:bCs/>
        </w:rPr>
        <w:t>FFY 2</w:t>
      </w:r>
      <w:r w:rsidRPr="004227F4">
        <w:rPr>
          <w:b/>
          <w:bCs/>
          <w:szCs w:val="16"/>
        </w:rPr>
        <w:t>02</w:t>
      </w:r>
      <w:r w:rsidR="00DA71D7" w:rsidRPr="004227F4">
        <w:rPr>
          <w:b/>
          <w:bCs/>
          <w:szCs w:val="16"/>
        </w:rPr>
        <w:t>2</w:t>
      </w:r>
      <w:r w:rsidRPr="004227F4">
        <w:rPr>
          <w:b/>
          <w:bCs/>
          <w:szCs w:val="16"/>
        </w:rPr>
        <w:t xml:space="preserve"> APR</w:t>
      </w:r>
      <w:r w:rsidR="009D31F8" w:rsidRPr="004227F4">
        <w:rPr>
          <w:b/>
          <w:bCs/>
          <w:szCs w:val="16"/>
        </w:rPr>
        <w:t xml:space="preserve"> </w:t>
      </w:r>
      <w:r w:rsidR="004227F4" w:rsidRPr="004227F4">
        <w:rPr>
          <w:szCs w:val="16"/>
        </w:rPr>
        <w:t>(1)</w:t>
      </w:r>
    </w:p>
    <w:p w14:paraId="523D5377" w14:textId="134AB56B" w:rsidR="00BB2AAF" w:rsidRPr="004227F4" w:rsidRDefault="004227F4" w:rsidP="005032AF">
      <w:pPr>
        <w:rPr>
          <w:b/>
          <w:bCs/>
          <w:szCs w:val="16"/>
        </w:rPr>
      </w:pPr>
      <w:r w:rsidRPr="004227F4">
        <w:rPr>
          <w:rFonts w:eastAsia="Times New Roman" w:cs="Arial"/>
          <w:b/>
          <w:bCs/>
          <w:szCs w:val="16"/>
        </w:rPr>
        <w:t>Part C Timely and Accurate Data -- SPP/APR Data</w:t>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644F667" w14:textId="77777777" w:rsidTr="005032AF">
        <w:trPr>
          <w:trHeight w:val="440"/>
        </w:trPr>
        <w:tc>
          <w:tcPr>
            <w:tcW w:w="1866" w:type="dxa"/>
            <w:vAlign w:val="center"/>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5032AF">
        <w:trPr>
          <w:trHeight w:val="440"/>
        </w:trPr>
        <w:tc>
          <w:tcPr>
            <w:tcW w:w="1866" w:type="dxa"/>
            <w:vAlign w:val="center"/>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vAlign w:val="center"/>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5032AF">
        <w:trPr>
          <w:trHeight w:val="440"/>
        </w:trPr>
        <w:tc>
          <w:tcPr>
            <w:tcW w:w="1866" w:type="dxa"/>
            <w:vAlign w:val="center"/>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vAlign w:val="center"/>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5032AF">
        <w:trPr>
          <w:trHeight w:val="440"/>
        </w:trPr>
        <w:tc>
          <w:tcPr>
            <w:tcW w:w="1866" w:type="dxa"/>
            <w:vAlign w:val="center"/>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vAlign w:val="center"/>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5032AF">
        <w:trPr>
          <w:trHeight w:val="440"/>
        </w:trPr>
        <w:tc>
          <w:tcPr>
            <w:tcW w:w="1866" w:type="dxa"/>
            <w:vAlign w:val="center"/>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vAlign w:val="center"/>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5032AF">
        <w:trPr>
          <w:trHeight w:val="440"/>
        </w:trPr>
        <w:tc>
          <w:tcPr>
            <w:tcW w:w="1866" w:type="dxa"/>
            <w:vAlign w:val="center"/>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vAlign w:val="center"/>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5032AF">
        <w:trPr>
          <w:trHeight w:val="440"/>
        </w:trPr>
        <w:tc>
          <w:tcPr>
            <w:tcW w:w="1866" w:type="dxa"/>
            <w:vAlign w:val="center"/>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vAlign w:val="center"/>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5032AF">
        <w:trPr>
          <w:trHeight w:val="440"/>
        </w:trPr>
        <w:tc>
          <w:tcPr>
            <w:tcW w:w="1866" w:type="dxa"/>
            <w:vAlign w:val="center"/>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vAlign w:val="center"/>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5032AF">
        <w:trPr>
          <w:trHeight w:val="440"/>
        </w:trPr>
        <w:tc>
          <w:tcPr>
            <w:tcW w:w="1866" w:type="dxa"/>
            <w:vAlign w:val="center"/>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vAlign w:val="center"/>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5032AF">
        <w:trPr>
          <w:trHeight w:val="440"/>
        </w:trPr>
        <w:tc>
          <w:tcPr>
            <w:tcW w:w="1866" w:type="dxa"/>
            <w:vAlign w:val="center"/>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vAlign w:val="center"/>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5032AF">
        <w:trPr>
          <w:trHeight w:val="440"/>
        </w:trPr>
        <w:tc>
          <w:tcPr>
            <w:tcW w:w="1866" w:type="dxa"/>
            <w:vAlign w:val="center"/>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vAlign w:val="center"/>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5032AF">
        <w:trPr>
          <w:trHeight w:val="440"/>
        </w:trPr>
        <w:tc>
          <w:tcPr>
            <w:tcW w:w="1866" w:type="dxa"/>
            <w:vAlign w:val="center"/>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vAlign w:val="center"/>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5032AF">
        <w:trPr>
          <w:trHeight w:val="440"/>
        </w:trPr>
        <w:tc>
          <w:tcPr>
            <w:tcW w:w="1866" w:type="dxa"/>
            <w:vAlign w:val="center"/>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vAlign w:val="center"/>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5032AF">
        <w:trPr>
          <w:trHeight w:val="440"/>
        </w:trPr>
        <w:tc>
          <w:tcPr>
            <w:tcW w:w="1866" w:type="dxa"/>
            <w:vAlign w:val="center"/>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vAlign w:val="center"/>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320FC19" w14:textId="02021ABF" w:rsidR="00CC21DE" w:rsidRPr="00210AC6" w:rsidRDefault="00CC21DE" w:rsidP="00A47616">
            <w:pPr>
              <w:spacing w:before="0" w:after="0"/>
              <w:jc w:val="center"/>
              <w:rPr>
                <w:rFonts w:eastAsia="Times New Roman" w:cs="Arial"/>
                <w:szCs w:val="16"/>
              </w:rPr>
            </w:pPr>
            <w:r>
              <w:t>1</w:t>
            </w:r>
          </w:p>
        </w:tc>
      </w:tr>
    </w:tbl>
    <w:p w14:paraId="4A115913" w14:textId="7D7F5D85" w:rsidR="00AA07A0" w:rsidRDefault="00AA07A0" w:rsidP="000135C2">
      <w:pPr>
        <w:rPr>
          <w:rFonts w:cs="Arial"/>
          <w:szCs w:val="16"/>
        </w:rPr>
      </w:pPr>
    </w:p>
    <w:p w14:paraId="798FD527" w14:textId="5EBC6C51" w:rsidR="009D31F8" w:rsidRDefault="009D31F8" w:rsidP="000135C2">
      <w:pPr>
        <w:rPr>
          <w:rFonts w:cs="Arial"/>
          <w:szCs w:val="16"/>
        </w:rPr>
      </w:pPr>
      <w:r w:rsidRPr="00210AC6">
        <w:rPr>
          <w:rFonts w:eastAsia="Times New Roman" w:cs="Arial"/>
          <w:b/>
          <w:bCs/>
          <w:szCs w:val="16"/>
        </w:rPr>
        <w:t>APR Score Calculation</w:t>
      </w:r>
    </w:p>
    <w:tbl>
      <w:tblPr>
        <w:tblStyle w:val="TableGrid1"/>
        <w:tblW w:w="9805" w:type="dxa"/>
        <w:tblLook w:val="04A0" w:firstRow="1" w:lastRow="0" w:firstColumn="1" w:lastColumn="0" w:noHBand="0" w:noVBand="1"/>
        <w:tblCaption w:val="CRUBCFFYAPRSCRCALC"/>
      </w:tblPr>
      <w:tblGrid>
        <w:gridCol w:w="7105"/>
        <w:gridCol w:w="2700"/>
      </w:tblGrid>
      <w:tr w:rsidR="009D31F8" w:rsidRPr="00210AC6" w14:paraId="4CB6C2A9" w14:textId="77777777" w:rsidTr="009D31F8">
        <w:trPr>
          <w:trHeight w:val="440"/>
        </w:trPr>
        <w:tc>
          <w:tcPr>
            <w:tcW w:w="7105" w:type="dxa"/>
            <w:vAlign w:val="center"/>
            <w:hideMark/>
          </w:tcPr>
          <w:p w14:paraId="3BBF0B93" w14:textId="77777777" w:rsidR="009D31F8" w:rsidRPr="00210AC6" w:rsidRDefault="009D31F8" w:rsidP="009D31F8">
            <w:pPr>
              <w:spacing w:before="0" w:after="0"/>
              <w:rPr>
                <w:rFonts w:eastAsia="Times New Roman" w:cs="Arial"/>
                <w:b/>
                <w:bCs/>
                <w:szCs w:val="16"/>
              </w:rPr>
            </w:pPr>
            <w:r>
              <w:rPr>
                <w:rFonts w:eastAsia="Times New Roman" w:cs="Arial"/>
                <w:b/>
                <w:bCs/>
                <w:szCs w:val="16"/>
              </w:rPr>
              <w:t>Subtotal</w:t>
            </w:r>
          </w:p>
        </w:tc>
        <w:tc>
          <w:tcPr>
            <w:tcW w:w="2700" w:type="dxa"/>
            <w:vAlign w:val="center"/>
            <w:hideMark/>
          </w:tcPr>
          <w:p w14:paraId="2B2BDC7F" w14:textId="77777777" w:rsidR="009D31F8" w:rsidRPr="00210AC6" w:rsidRDefault="009D31F8" w:rsidP="00B02EBE">
            <w:pPr>
              <w:spacing w:before="0" w:after="0"/>
              <w:jc w:val="center"/>
              <w:rPr>
                <w:rFonts w:eastAsia="Times New Roman" w:cs="Arial"/>
                <w:szCs w:val="16"/>
              </w:rPr>
            </w:pPr>
            <w:r>
              <w:t>13</w:t>
            </w:r>
          </w:p>
        </w:tc>
      </w:tr>
      <w:tr w:rsidR="009D31F8" w:rsidRPr="00210AC6" w14:paraId="11D30516" w14:textId="77777777" w:rsidTr="009D31F8">
        <w:trPr>
          <w:trHeight w:val="735"/>
        </w:trPr>
        <w:tc>
          <w:tcPr>
            <w:tcW w:w="7105" w:type="dxa"/>
            <w:vAlign w:val="center"/>
            <w:hideMark/>
          </w:tcPr>
          <w:p w14:paraId="0B6B62AD" w14:textId="77777777" w:rsidR="009D31F8" w:rsidRPr="00210AC6" w:rsidRDefault="009D31F8" w:rsidP="00B02EBE">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700" w:type="dxa"/>
            <w:vAlign w:val="center"/>
            <w:hideMark/>
          </w:tcPr>
          <w:p w14:paraId="31B542DE" w14:textId="77777777" w:rsidR="009D31F8" w:rsidRPr="00210AC6" w:rsidRDefault="009D31F8" w:rsidP="00B02EBE">
            <w:pPr>
              <w:spacing w:before="0" w:after="0"/>
              <w:jc w:val="center"/>
              <w:rPr>
                <w:rFonts w:eastAsia="Times New Roman" w:cs="Arial"/>
                <w:szCs w:val="16"/>
              </w:rPr>
            </w:pPr>
            <w:r>
              <w:t>5</w:t>
            </w:r>
          </w:p>
        </w:tc>
      </w:tr>
      <w:tr w:rsidR="009D31F8" w:rsidRPr="00210AC6" w14:paraId="6DEBB32D" w14:textId="77777777" w:rsidTr="009D31F8">
        <w:trPr>
          <w:trHeight w:val="485"/>
        </w:trPr>
        <w:tc>
          <w:tcPr>
            <w:tcW w:w="7105" w:type="dxa"/>
            <w:vAlign w:val="center"/>
            <w:hideMark/>
          </w:tcPr>
          <w:p w14:paraId="52ACEE56" w14:textId="77777777" w:rsidR="009D31F8" w:rsidRPr="00210AC6" w:rsidRDefault="009D31F8" w:rsidP="00B02EBE">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700" w:type="dxa"/>
            <w:vAlign w:val="center"/>
            <w:hideMark/>
          </w:tcPr>
          <w:p w14:paraId="4F403986" w14:textId="77777777" w:rsidR="009D31F8" w:rsidRPr="00210AC6" w:rsidRDefault="009D31F8" w:rsidP="00B02EBE">
            <w:pPr>
              <w:spacing w:before="0" w:after="0"/>
              <w:jc w:val="center"/>
              <w:rPr>
                <w:rFonts w:eastAsia="Times New Roman" w:cs="Arial"/>
                <w:szCs w:val="16"/>
              </w:rPr>
            </w:pPr>
            <w:r>
              <w:t>18</w:t>
            </w:r>
          </w:p>
        </w:tc>
      </w:tr>
    </w:tbl>
    <w:p w14:paraId="78C39D50" w14:textId="77777777" w:rsidR="009D31F8" w:rsidRDefault="009D31F8" w:rsidP="000135C2">
      <w:pPr>
        <w:rPr>
          <w:rFonts w:cs="Arial"/>
          <w:szCs w:val="16"/>
        </w:rPr>
      </w:pPr>
    </w:p>
    <w:p w14:paraId="5473235D" w14:textId="77777777" w:rsidR="00747E4D" w:rsidRDefault="009D31F8" w:rsidP="00D731C8">
      <w:pPr>
        <w:rPr>
          <w:b/>
          <w:bCs/>
        </w:rPr>
      </w:pPr>
      <w:r w:rsidRPr="00D731C8">
        <w:rPr>
          <w:b/>
          <w:bCs/>
        </w:rPr>
        <w:t xml:space="preserve">(1) In the SPP/APR Data table, where there is an N/A in the Valid and Reliable column, the Total column will display a 0. This is a change from prior years in display only; all calculation methods are unchanged. An N/A does not negatively affect a </w:t>
      </w:r>
      <w:proofErr w:type="gramStart"/>
      <w:r w:rsidRPr="00D731C8">
        <w:rPr>
          <w:b/>
          <w:bCs/>
        </w:rPr>
        <w:t>State's</w:t>
      </w:r>
      <w:proofErr w:type="gramEnd"/>
      <w:r w:rsidRPr="00D731C8">
        <w:rPr>
          <w:b/>
          <w:bCs/>
        </w:rPr>
        <w:t xml:space="preserve"> score; this is because 1 point is subtracted from the Denominator in the Indicator Calculation table for each cell marked as N/A in the SPP/APR Data table.</w:t>
      </w:r>
    </w:p>
    <w:p w14:paraId="1A33A264" w14:textId="49E0E9B8" w:rsidR="00AA07A0" w:rsidRPr="00D731C8" w:rsidRDefault="00AA07A0" w:rsidP="00D731C8">
      <w:pPr>
        <w:rPr>
          <w:rFonts w:cs="Arial"/>
          <w:b/>
          <w:bCs/>
          <w:szCs w:val="16"/>
        </w:rPr>
      </w:pPr>
      <w:r w:rsidRPr="00D731C8">
        <w:rPr>
          <w:rFonts w:cs="Arial"/>
          <w:b/>
          <w:bCs/>
          <w:szCs w:val="16"/>
        </w:rPr>
        <w:br w:type="page"/>
      </w:r>
    </w:p>
    <w:p w14:paraId="7B476875" w14:textId="56179E3E" w:rsidR="00F2466D" w:rsidRPr="009D31F8" w:rsidRDefault="009D31F8" w:rsidP="000135C2">
      <w:pPr>
        <w:rPr>
          <w:rFonts w:cs="Arial"/>
          <w:szCs w:val="16"/>
        </w:rPr>
      </w:pPr>
      <w:r w:rsidRPr="00210AC6">
        <w:rPr>
          <w:rFonts w:eastAsia="Times New Roman" w:cs="Arial"/>
          <w:b/>
          <w:bCs/>
          <w:szCs w:val="16"/>
        </w:rPr>
        <w:lastRenderedPageBreak/>
        <w:t>618 Data</w:t>
      </w:r>
      <w:r>
        <w:rPr>
          <w:rFonts w:eastAsia="Times New Roman" w:cs="Arial"/>
          <w:szCs w:val="16"/>
        </w:rPr>
        <w:t xml:space="preserve"> (2)</w:t>
      </w: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7DB9D813" w14:textId="77777777" w:rsidTr="005032AF">
        <w:trPr>
          <w:trHeight w:val="458"/>
        </w:trPr>
        <w:tc>
          <w:tcPr>
            <w:tcW w:w="1968" w:type="dxa"/>
            <w:vAlign w:val="center"/>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5032AF">
        <w:trPr>
          <w:trHeight w:val="828"/>
        </w:trPr>
        <w:tc>
          <w:tcPr>
            <w:tcW w:w="1968" w:type="dxa"/>
            <w:vAlign w:val="center"/>
            <w:hideMark/>
          </w:tcPr>
          <w:p w14:paraId="5DA3445E" w14:textId="2EC034B7" w:rsidR="008558B7" w:rsidRPr="00210AC6" w:rsidRDefault="008558B7" w:rsidP="008558B7">
            <w:pPr>
              <w:spacing w:before="0" w:after="0"/>
              <w:jc w:val="center"/>
              <w:rPr>
                <w:rFonts w:eastAsia="Times New Roman" w:cs="Arial"/>
                <w:b/>
                <w:bCs/>
                <w:szCs w:val="16"/>
              </w:rPr>
            </w:pPr>
            <w:r>
              <w:rPr>
                <w:rFonts w:cs="Arial"/>
                <w:b/>
                <w:bCs/>
              </w:rPr>
              <w:t xml:space="preserve"> Child Count/Settings Due Date: 8/30/23</w:t>
            </w:r>
          </w:p>
        </w:tc>
        <w:tc>
          <w:tcPr>
            <w:tcW w:w="1968" w:type="dxa"/>
            <w:vAlign w:val="center"/>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5032AF">
        <w:trPr>
          <w:trHeight w:val="828"/>
        </w:trPr>
        <w:tc>
          <w:tcPr>
            <w:tcW w:w="1968" w:type="dxa"/>
            <w:vAlign w:val="center"/>
            <w:hideMark/>
          </w:tcPr>
          <w:p w14:paraId="36518C88" w14:textId="4FF5A8EA" w:rsidR="008558B7" w:rsidRPr="00210AC6" w:rsidRDefault="008558B7" w:rsidP="008558B7">
            <w:pPr>
              <w:spacing w:before="0" w:after="0"/>
              <w:jc w:val="center"/>
              <w:rPr>
                <w:rFonts w:eastAsia="Times New Roman" w:cs="Arial"/>
                <w:b/>
                <w:bCs/>
                <w:szCs w:val="16"/>
              </w:rPr>
            </w:pPr>
            <w:r>
              <w:rPr>
                <w:rFonts w:cs="Arial"/>
                <w:b/>
                <w:bCs/>
              </w:rPr>
              <w:t>Exiting Due Date: 2/21/24</w:t>
            </w:r>
          </w:p>
        </w:tc>
        <w:tc>
          <w:tcPr>
            <w:tcW w:w="1968" w:type="dxa"/>
            <w:vAlign w:val="center"/>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5032AF">
        <w:trPr>
          <w:trHeight w:val="828"/>
        </w:trPr>
        <w:tc>
          <w:tcPr>
            <w:tcW w:w="1968" w:type="dxa"/>
            <w:vAlign w:val="center"/>
            <w:hideMark/>
          </w:tcPr>
          <w:p w14:paraId="6C00C178" w14:textId="1E5DF0AD" w:rsidR="008558B7" w:rsidRPr="00210AC6" w:rsidRDefault="008558B7" w:rsidP="008558B7">
            <w:pPr>
              <w:spacing w:before="0" w:after="0"/>
              <w:jc w:val="center"/>
              <w:rPr>
                <w:rFonts w:eastAsia="Times New Roman" w:cs="Arial"/>
                <w:b/>
                <w:bCs/>
                <w:szCs w:val="16"/>
              </w:rPr>
            </w:pPr>
            <w:r>
              <w:rPr>
                <w:rFonts w:cs="Arial"/>
                <w:b/>
                <w:bCs/>
              </w:rPr>
              <w:t>Dispute Resolution Due Date: 11/15/23</w:t>
            </w:r>
          </w:p>
        </w:tc>
        <w:tc>
          <w:tcPr>
            <w:tcW w:w="1968" w:type="dxa"/>
            <w:vAlign w:val="center"/>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1A25510E" w14:textId="334DE016" w:rsidR="008558B7" w:rsidRPr="00210AC6" w:rsidRDefault="008558B7" w:rsidP="008558B7">
            <w:pPr>
              <w:spacing w:before="0" w:after="0"/>
              <w:jc w:val="center"/>
              <w:rPr>
                <w:rFonts w:eastAsia="Times New Roman" w:cs="Arial"/>
                <w:b/>
                <w:bCs/>
                <w:szCs w:val="16"/>
              </w:rPr>
            </w:pPr>
            <w:r>
              <w:t>3</w:t>
            </w:r>
          </w:p>
        </w:tc>
      </w:tr>
    </w:tbl>
    <w:p w14:paraId="3067138D" w14:textId="77777777" w:rsidR="000135C2" w:rsidRDefault="000135C2" w:rsidP="000135C2">
      <w:pPr>
        <w:rPr>
          <w:rFonts w:cs="Arial"/>
          <w:color w:val="000000" w:themeColor="text1"/>
          <w:szCs w:val="16"/>
        </w:rPr>
      </w:pPr>
    </w:p>
    <w:p w14:paraId="5B89FD5E" w14:textId="2B441D74" w:rsidR="009D31F8" w:rsidRDefault="009D31F8" w:rsidP="000135C2">
      <w:pPr>
        <w:rPr>
          <w:rFonts w:cs="Arial"/>
          <w:color w:val="000000" w:themeColor="text1"/>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bl>
      <w:tblPr>
        <w:tblStyle w:val="TableGrid1"/>
        <w:tblW w:w="9841" w:type="dxa"/>
        <w:tblLayout w:type="fixed"/>
        <w:tblLook w:val="04A0" w:firstRow="1" w:lastRow="0" w:firstColumn="1" w:lastColumn="0" w:noHBand="0" w:noVBand="1"/>
        <w:tblCaption w:val="CRUBCFFYCOLLSCRCALC"/>
      </w:tblPr>
      <w:tblGrid>
        <w:gridCol w:w="7859"/>
        <w:gridCol w:w="1982"/>
      </w:tblGrid>
      <w:tr w:rsidR="009D31F8" w:rsidRPr="00210AC6" w14:paraId="5D584897" w14:textId="77777777" w:rsidTr="009D31F8">
        <w:trPr>
          <w:trHeight w:val="557"/>
        </w:trPr>
        <w:tc>
          <w:tcPr>
            <w:tcW w:w="7825" w:type="dxa"/>
            <w:vAlign w:val="center"/>
            <w:hideMark/>
          </w:tcPr>
          <w:p w14:paraId="1D64CC0F" w14:textId="77777777" w:rsidR="009D31F8" w:rsidRPr="00210AC6" w:rsidRDefault="009D31F8" w:rsidP="009D31F8">
            <w:pPr>
              <w:spacing w:before="0" w:after="0"/>
              <w:rPr>
                <w:rFonts w:eastAsia="Times New Roman" w:cs="Arial"/>
                <w:b/>
                <w:bCs/>
                <w:szCs w:val="16"/>
              </w:rPr>
            </w:pPr>
            <w:r w:rsidRPr="00210AC6">
              <w:rPr>
                <w:rFonts w:eastAsia="Times New Roman" w:cs="Arial"/>
                <w:b/>
                <w:bCs/>
                <w:szCs w:val="16"/>
              </w:rPr>
              <w:t>Subtotal</w:t>
            </w:r>
          </w:p>
        </w:tc>
        <w:tc>
          <w:tcPr>
            <w:tcW w:w="1973" w:type="dxa"/>
            <w:noWrap/>
            <w:vAlign w:val="center"/>
            <w:hideMark/>
          </w:tcPr>
          <w:p w14:paraId="3EF5234E" w14:textId="77777777" w:rsidR="009D31F8" w:rsidRPr="00210AC6" w:rsidRDefault="009D31F8" w:rsidP="00B02EBE">
            <w:pPr>
              <w:spacing w:before="0" w:after="0"/>
              <w:jc w:val="center"/>
              <w:rPr>
                <w:rFonts w:eastAsia="Times New Roman" w:cs="Arial"/>
                <w:szCs w:val="16"/>
              </w:rPr>
            </w:pPr>
            <w:r>
              <w:t>9</w:t>
            </w:r>
          </w:p>
        </w:tc>
      </w:tr>
      <w:tr w:rsidR="009D31F8" w:rsidRPr="00210AC6" w14:paraId="366BAD8E" w14:textId="77777777" w:rsidTr="009D31F8">
        <w:trPr>
          <w:trHeight w:val="530"/>
        </w:trPr>
        <w:tc>
          <w:tcPr>
            <w:tcW w:w="7825" w:type="dxa"/>
            <w:vAlign w:val="center"/>
            <w:hideMark/>
          </w:tcPr>
          <w:p w14:paraId="1EE5C038" w14:textId="77777777" w:rsidR="009D31F8" w:rsidRPr="00210AC6" w:rsidRDefault="009D31F8" w:rsidP="009D31F8">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Pr>
                <w:rFonts w:eastAsia="Times New Roman" w:cs="Arial"/>
                <w:szCs w:val="16"/>
              </w:rPr>
              <w:t>2</w:t>
            </w:r>
            <w:r w:rsidRPr="00210AC6">
              <w:rPr>
                <w:rFonts w:eastAsia="Times New Roman" w:cs="Arial"/>
                <w:szCs w:val="16"/>
              </w:rPr>
              <w:t>) =</w:t>
            </w:r>
          </w:p>
        </w:tc>
        <w:tc>
          <w:tcPr>
            <w:tcW w:w="1973" w:type="dxa"/>
            <w:noWrap/>
            <w:vAlign w:val="center"/>
            <w:hideMark/>
          </w:tcPr>
          <w:p w14:paraId="6F0BE561" w14:textId="77777777" w:rsidR="009D31F8" w:rsidRPr="00210AC6" w:rsidRDefault="009D31F8" w:rsidP="00B02EBE">
            <w:pPr>
              <w:spacing w:before="0" w:after="0"/>
              <w:jc w:val="center"/>
              <w:rPr>
                <w:rFonts w:eastAsia="Times New Roman" w:cs="Arial"/>
                <w:szCs w:val="16"/>
              </w:rPr>
            </w:pPr>
            <w:r>
              <w:t>18.00</w:t>
            </w:r>
          </w:p>
        </w:tc>
      </w:tr>
    </w:tbl>
    <w:p w14:paraId="543038A0" w14:textId="77777777" w:rsidR="009D31F8" w:rsidRPr="00210AC6" w:rsidRDefault="009D31F8" w:rsidP="000135C2">
      <w:pPr>
        <w:rPr>
          <w:rFonts w:cs="Arial"/>
          <w:color w:val="000000" w:themeColor="text1"/>
          <w:szCs w:val="16"/>
        </w:rPr>
      </w:pPr>
    </w:p>
    <w:p w14:paraId="7D65D7B8" w14:textId="4FABBE44" w:rsidR="000135C2" w:rsidRPr="00210AC6" w:rsidRDefault="009D31F8" w:rsidP="000135C2">
      <w:pPr>
        <w:rPr>
          <w:rFonts w:cs="Arial"/>
          <w:color w:val="000000" w:themeColor="text1"/>
          <w:szCs w:val="16"/>
        </w:rPr>
      </w:pPr>
      <w:r w:rsidRPr="00210AC6">
        <w:rPr>
          <w:rFonts w:eastAsia="Times New Roman" w:cs="Arial"/>
          <w:b/>
          <w:bCs/>
          <w:szCs w:val="16"/>
        </w:rPr>
        <w:t>Indicator Calculation</w:t>
      </w:r>
    </w:p>
    <w:tbl>
      <w:tblPr>
        <w:tblStyle w:val="TableGrid1"/>
        <w:tblW w:w="9839" w:type="dxa"/>
        <w:tblLook w:val="04A0" w:firstRow="1" w:lastRow="0" w:firstColumn="1" w:lastColumn="0" w:noHBand="0" w:noVBand="1"/>
        <w:tblCaption w:val="CRUBCFFYINDCALC"/>
      </w:tblPr>
      <w:tblGrid>
        <w:gridCol w:w="5665"/>
        <w:gridCol w:w="4174"/>
      </w:tblGrid>
      <w:tr w:rsidR="004A2E39" w:rsidRPr="00210AC6" w14:paraId="0B93867F" w14:textId="77777777" w:rsidTr="005032AF">
        <w:trPr>
          <w:trHeight w:val="432"/>
        </w:trPr>
        <w:tc>
          <w:tcPr>
            <w:tcW w:w="5665" w:type="dxa"/>
            <w:vAlign w:val="center"/>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174" w:type="dxa"/>
            <w:vAlign w:val="center"/>
            <w:hideMark/>
          </w:tcPr>
          <w:p w14:paraId="7671ECBA" w14:textId="73210BF7" w:rsidR="004A2E39" w:rsidRPr="00210AC6" w:rsidRDefault="004A2E39" w:rsidP="005032AF">
            <w:pPr>
              <w:spacing w:before="0" w:after="0"/>
              <w:jc w:val="center"/>
              <w:rPr>
                <w:rFonts w:eastAsia="Times New Roman" w:cs="Arial"/>
                <w:szCs w:val="16"/>
              </w:rPr>
            </w:pPr>
            <w:r>
              <w:t>18</w:t>
            </w:r>
          </w:p>
        </w:tc>
      </w:tr>
      <w:tr w:rsidR="004A2E39" w:rsidRPr="00210AC6" w14:paraId="539166C5" w14:textId="77777777" w:rsidTr="005032AF">
        <w:trPr>
          <w:trHeight w:val="432"/>
        </w:trPr>
        <w:tc>
          <w:tcPr>
            <w:tcW w:w="5665" w:type="dxa"/>
            <w:vAlign w:val="center"/>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174" w:type="dxa"/>
            <w:vAlign w:val="center"/>
            <w:hideMark/>
          </w:tcPr>
          <w:p w14:paraId="275A7042" w14:textId="2B5E9662" w:rsidR="004A2E39" w:rsidRPr="00210AC6" w:rsidRDefault="004A2E39" w:rsidP="005032AF">
            <w:pPr>
              <w:spacing w:before="0" w:after="0"/>
              <w:jc w:val="center"/>
              <w:rPr>
                <w:rFonts w:eastAsia="Times New Roman" w:cs="Arial"/>
                <w:szCs w:val="16"/>
              </w:rPr>
            </w:pPr>
            <w:r>
              <w:t>18.00</w:t>
            </w:r>
          </w:p>
        </w:tc>
      </w:tr>
      <w:tr w:rsidR="004A2E39" w:rsidRPr="00210AC6" w14:paraId="2F0D35A0" w14:textId="77777777" w:rsidTr="005032AF">
        <w:trPr>
          <w:trHeight w:val="432"/>
        </w:trPr>
        <w:tc>
          <w:tcPr>
            <w:tcW w:w="5665" w:type="dxa"/>
            <w:vAlign w:val="center"/>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174" w:type="dxa"/>
            <w:vAlign w:val="center"/>
            <w:hideMark/>
          </w:tcPr>
          <w:p w14:paraId="572B3140" w14:textId="766A218C" w:rsidR="004A2E39" w:rsidRPr="00210AC6" w:rsidRDefault="004A2E39" w:rsidP="005032AF">
            <w:pPr>
              <w:spacing w:before="0" w:after="0"/>
              <w:jc w:val="center"/>
              <w:rPr>
                <w:rFonts w:eastAsia="Times New Roman" w:cs="Arial"/>
                <w:szCs w:val="16"/>
              </w:rPr>
            </w:pPr>
            <w:r>
              <w:t>36.00</w:t>
            </w:r>
          </w:p>
        </w:tc>
      </w:tr>
      <w:tr w:rsidR="004A2E39" w:rsidRPr="00210AC6" w14:paraId="66370322" w14:textId="77777777" w:rsidTr="005032AF">
        <w:trPr>
          <w:trHeight w:val="432"/>
        </w:trPr>
        <w:tc>
          <w:tcPr>
            <w:tcW w:w="5665" w:type="dxa"/>
            <w:vAlign w:val="center"/>
            <w:hideMark/>
          </w:tcPr>
          <w:p w14:paraId="28CEF8A5" w14:textId="292AFFF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174" w:type="dxa"/>
            <w:vAlign w:val="center"/>
            <w:hideMark/>
          </w:tcPr>
          <w:p w14:paraId="27258A4A" w14:textId="0023BF2F" w:rsidR="004A2E39" w:rsidRPr="00210AC6" w:rsidRDefault="004A2E39" w:rsidP="005032AF">
            <w:pPr>
              <w:spacing w:before="0" w:after="0"/>
              <w:jc w:val="center"/>
              <w:rPr>
                <w:rFonts w:eastAsia="Times New Roman" w:cs="Arial"/>
                <w:szCs w:val="16"/>
              </w:rPr>
            </w:pPr>
            <w:r>
              <w:t>0</w:t>
            </w:r>
          </w:p>
        </w:tc>
      </w:tr>
      <w:tr w:rsidR="004A2E39" w:rsidRPr="00210AC6" w14:paraId="485AF70A" w14:textId="77777777" w:rsidTr="005032AF">
        <w:trPr>
          <w:trHeight w:val="432"/>
        </w:trPr>
        <w:tc>
          <w:tcPr>
            <w:tcW w:w="5665" w:type="dxa"/>
            <w:vAlign w:val="center"/>
            <w:hideMark/>
          </w:tcPr>
          <w:p w14:paraId="67802FC7" w14:textId="71AA6D63" w:rsidR="004A2E39" w:rsidRPr="00210AC6" w:rsidRDefault="004A2E39" w:rsidP="004A2E39">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174" w:type="dxa"/>
            <w:vAlign w:val="center"/>
            <w:hideMark/>
          </w:tcPr>
          <w:p w14:paraId="3BB5CBDF" w14:textId="56484DCA" w:rsidR="004A2E39" w:rsidRPr="00210AC6" w:rsidRDefault="004A2E39" w:rsidP="005032AF">
            <w:pPr>
              <w:spacing w:before="0" w:after="0"/>
              <w:jc w:val="center"/>
              <w:rPr>
                <w:rFonts w:eastAsia="Times New Roman" w:cs="Arial"/>
                <w:szCs w:val="16"/>
              </w:rPr>
            </w:pPr>
            <w:r>
              <w:t>0.00</w:t>
            </w:r>
          </w:p>
        </w:tc>
      </w:tr>
      <w:tr w:rsidR="004A2E39" w:rsidRPr="00210AC6" w14:paraId="0BAB0C30" w14:textId="77777777" w:rsidTr="005032AF">
        <w:trPr>
          <w:trHeight w:val="432"/>
        </w:trPr>
        <w:tc>
          <w:tcPr>
            <w:tcW w:w="5665" w:type="dxa"/>
            <w:vAlign w:val="center"/>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174" w:type="dxa"/>
            <w:vAlign w:val="center"/>
            <w:hideMark/>
          </w:tcPr>
          <w:p w14:paraId="4FBFC9BC" w14:textId="04015575" w:rsidR="004A2E39" w:rsidRPr="00210AC6" w:rsidRDefault="004A2E39" w:rsidP="005032AF">
            <w:pPr>
              <w:spacing w:before="0" w:after="0"/>
              <w:jc w:val="center"/>
              <w:rPr>
                <w:rFonts w:eastAsia="Times New Roman" w:cs="Arial"/>
                <w:szCs w:val="16"/>
              </w:rPr>
            </w:pPr>
            <w:r>
              <w:t>36.00</w:t>
            </w:r>
          </w:p>
        </w:tc>
      </w:tr>
      <w:tr w:rsidR="004A2E39" w:rsidRPr="00210AC6" w14:paraId="313D2E20" w14:textId="77777777" w:rsidTr="005032AF">
        <w:trPr>
          <w:trHeight w:val="432"/>
        </w:trPr>
        <w:tc>
          <w:tcPr>
            <w:tcW w:w="5665" w:type="dxa"/>
            <w:vAlign w:val="center"/>
            <w:hideMark/>
          </w:tcPr>
          <w:p w14:paraId="3BFF4D94" w14:textId="3D3D7F1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(3) =</w:t>
            </w:r>
          </w:p>
        </w:tc>
        <w:tc>
          <w:tcPr>
            <w:tcW w:w="4174" w:type="dxa"/>
            <w:vAlign w:val="center"/>
            <w:hideMark/>
          </w:tcPr>
          <w:p w14:paraId="4C4FECD3" w14:textId="6A98D3C6" w:rsidR="004A2E39" w:rsidRPr="00210AC6" w:rsidRDefault="004A2E39" w:rsidP="005032AF">
            <w:pPr>
              <w:spacing w:before="0" w:after="0"/>
              <w:jc w:val="center"/>
              <w:rPr>
                <w:rFonts w:eastAsia="Times New Roman" w:cs="Arial"/>
                <w:szCs w:val="16"/>
              </w:rPr>
            </w:pPr>
            <w:r>
              <w:t>1.0000</w:t>
            </w:r>
          </w:p>
        </w:tc>
      </w:tr>
      <w:tr w:rsidR="004A2E39" w:rsidRPr="00210AC6" w14:paraId="30E510D4" w14:textId="77777777" w:rsidTr="005032AF">
        <w:trPr>
          <w:trHeight w:val="432"/>
        </w:trPr>
        <w:tc>
          <w:tcPr>
            <w:tcW w:w="5665" w:type="dxa"/>
            <w:vAlign w:val="center"/>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174" w:type="dxa"/>
            <w:vAlign w:val="center"/>
            <w:hideMark/>
          </w:tcPr>
          <w:p w14:paraId="3144A119" w14:textId="2E9A2561" w:rsidR="004A2E39" w:rsidRPr="00210AC6" w:rsidRDefault="004A2E39" w:rsidP="005032AF">
            <w:pPr>
              <w:spacing w:before="0" w:after="0"/>
              <w:jc w:val="center"/>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45446BD1" w14:textId="77777777" w:rsidR="009D31F8" w:rsidRPr="00D731C8" w:rsidRDefault="009D31F8" w:rsidP="009D31F8">
      <w:pPr>
        <w:spacing w:after="120"/>
        <w:rPr>
          <w:b/>
          <w:bCs/>
        </w:rPr>
      </w:pPr>
      <w:r w:rsidRPr="00D731C8">
        <w:rPr>
          <w:b/>
          <w:bCs/>
        </w:rPr>
        <w:t xml:space="preserve">(2) In the 618 Data table, when calculating the value in the Total column, any N/As in the Timely, Complete Data, or Passed Edit Checks columns are treated as a ‘0’. An N/A does not negatively affect a </w:t>
      </w:r>
      <w:proofErr w:type="gramStart"/>
      <w:r w:rsidRPr="00D731C8">
        <w:rPr>
          <w:b/>
          <w:bCs/>
        </w:rPr>
        <w:t>State's</w:t>
      </w:r>
      <w:proofErr w:type="gramEnd"/>
      <w:r w:rsidRPr="00D731C8">
        <w:rPr>
          <w:b/>
          <w:bCs/>
        </w:rPr>
        <w:t xml:space="preserve"> score; this is because 2 points is subtracted from the Denominator in the Indicator Calculation table for each cell marked as N/A in the 618 Data table.</w:t>
      </w:r>
    </w:p>
    <w:p w14:paraId="4D089C92" w14:textId="3E9F4976" w:rsidR="00FD2AA0" w:rsidRDefault="009D31F8" w:rsidP="00DC6D97">
      <w:pPr>
        <w:rPr>
          <w:b/>
          <w:bCs/>
        </w:rPr>
      </w:pPr>
      <w:r w:rsidRPr="00D731C8">
        <w:rPr>
          <w:b/>
          <w:bCs/>
        </w:rPr>
        <w:t>(3) Note that any cell marked as N/A in the APR Data Table will decrease the denominator by 1, and any cell marked as N/A in the 618 Data Table will decrease the denominator by 2.</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14E6E442" w:rsidR="008A41E6" w:rsidRPr="008A41E6" w:rsidRDefault="008A41E6" w:rsidP="008A41E6">
      <w:pPr>
        <w:rPr>
          <w:b/>
          <w:bCs/>
        </w:rPr>
      </w:pPr>
      <w:r w:rsidRPr="008A41E6">
        <w:rPr>
          <w:b/>
          <w:bCs/>
        </w:rPr>
        <w:t>DATE: February 2024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w:t>
      </w:r>
      <w:r w:rsidRPr="00555AD9">
        <w:t>MAPS</w:t>
      </w:r>
      <w:r w:rsidRPr="008A41E6">
        <w:t xml:space="preserve">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D34E49" w:rsidRPr="008A41E6" w14:paraId="48B0EA70" w14:textId="77777777" w:rsidTr="008A41E6">
        <w:trPr>
          <w:trHeight w:val="340"/>
        </w:trPr>
        <w:tc>
          <w:tcPr>
            <w:tcW w:w="2785" w:type="dxa"/>
            <w:hideMark/>
          </w:tcPr>
          <w:p w14:paraId="47BE65B7" w14:textId="77777777" w:rsidR="00D34E49" w:rsidRPr="008A41E6" w:rsidRDefault="00D34E49" w:rsidP="00D34E49">
            <w:r w:rsidRPr="008A41E6">
              <w:t>Part C Child Count and Setting</w:t>
            </w:r>
          </w:p>
        </w:tc>
        <w:tc>
          <w:tcPr>
            <w:tcW w:w="3615" w:type="dxa"/>
            <w:hideMark/>
          </w:tcPr>
          <w:p w14:paraId="6E50EDA7" w14:textId="77777777" w:rsidR="00D34E49" w:rsidRPr="008A41E6" w:rsidRDefault="00D34E49" w:rsidP="00D34E49">
            <w:r w:rsidRPr="008A41E6">
              <w:t>Part C Child Count and Settings in E</w:t>
            </w:r>
            <w:r w:rsidRPr="00555AD9">
              <w:t>MAPS</w:t>
            </w:r>
          </w:p>
        </w:tc>
        <w:tc>
          <w:tcPr>
            <w:tcW w:w="3230" w:type="dxa"/>
            <w:hideMark/>
          </w:tcPr>
          <w:p w14:paraId="31BA0725" w14:textId="3A690872" w:rsidR="00D34E49" w:rsidRPr="008A41E6" w:rsidRDefault="00D34E49" w:rsidP="00D34E49">
            <w:r>
              <w:t>8/30/2023</w:t>
            </w:r>
          </w:p>
        </w:tc>
      </w:tr>
      <w:tr w:rsidR="00D34E49" w:rsidRPr="008A41E6" w14:paraId="1173D2B3" w14:textId="77777777" w:rsidTr="008A41E6">
        <w:trPr>
          <w:trHeight w:val="340"/>
        </w:trPr>
        <w:tc>
          <w:tcPr>
            <w:tcW w:w="2785" w:type="dxa"/>
            <w:hideMark/>
          </w:tcPr>
          <w:p w14:paraId="461E95EA" w14:textId="77777777" w:rsidR="00D34E49" w:rsidRPr="008A41E6" w:rsidRDefault="00D34E49" w:rsidP="00D34E49">
            <w:r w:rsidRPr="008A41E6">
              <w:t>Part C Exiting</w:t>
            </w:r>
          </w:p>
        </w:tc>
        <w:tc>
          <w:tcPr>
            <w:tcW w:w="3615" w:type="dxa"/>
            <w:hideMark/>
          </w:tcPr>
          <w:p w14:paraId="1E6A19F0" w14:textId="77777777" w:rsidR="00D34E49" w:rsidRPr="008A41E6" w:rsidRDefault="00D34E49" w:rsidP="00D34E49">
            <w:r w:rsidRPr="008A41E6">
              <w:t>Part C Exiting Collection in E</w:t>
            </w:r>
            <w:r w:rsidRPr="00555AD9">
              <w:t>MAPS</w:t>
            </w:r>
          </w:p>
        </w:tc>
        <w:tc>
          <w:tcPr>
            <w:tcW w:w="3230" w:type="dxa"/>
            <w:hideMark/>
          </w:tcPr>
          <w:p w14:paraId="6771BD30" w14:textId="29959B14" w:rsidR="00D34E49" w:rsidRPr="008A41E6" w:rsidRDefault="00D34E49" w:rsidP="00D34E49">
            <w:r>
              <w:t>2/21/2024</w:t>
            </w:r>
          </w:p>
        </w:tc>
      </w:tr>
      <w:tr w:rsidR="00D34E49" w:rsidRPr="008A41E6" w14:paraId="44C89D7A" w14:textId="77777777" w:rsidTr="008A41E6">
        <w:trPr>
          <w:trHeight w:val="340"/>
        </w:trPr>
        <w:tc>
          <w:tcPr>
            <w:tcW w:w="2785" w:type="dxa"/>
            <w:hideMark/>
          </w:tcPr>
          <w:p w14:paraId="2366E4F6" w14:textId="77777777" w:rsidR="00D34E49" w:rsidRPr="008A41E6" w:rsidRDefault="00D34E49" w:rsidP="00D34E49">
            <w:r w:rsidRPr="008A41E6">
              <w:t xml:space="preserve">Part C Dispute Resolution </w:t>
            </w:r>
          </w:p>
        </w:tc>
        <w:tc>
          <w:tcPr>
            <w:tcW w:w="3615" w:type="dxa"/>
            <w:hideMark/>
          </w:tcPr>
          <w:p w14:paraId="3D6A733B" w14:textId="77777777" w:rsidR="00D34E49" w:rsidRPr="008A41E6" w:rsidRDefault="00D34E49" w:rsidP="00D34E49">
            <w:r w:rsidRPr="008A41E6">
              <w:t>Part C Dispute Resolution Survey in E</w:t>
            </w:r>
            <w:r w:rsidRPr="00555AD9">
              <w:t>MAPS</w:t>
            </w:r>
          </w:p>
        </w:tc>
        <w:tc>
          <w:tcPr>
            <w:tcW w:w="3230" w:type="dxa"/>
            <w:hideMark/>
          </w:tcPr>
          <w:p w14:paraId="37D36B50" w14:textId="5EFEF004" w:rsidR="00D34E49" w:rsidRPr="008A41E6" w:rsidRDefault="00D34E49" w:rsidP="00D34E49">
            <w:r>
              <w:t>11/15/2023</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A State will receive one point if it submits data that meets all the edit checks related to the specific data collection by the initial due date. The counts included in 618 data submissions are internally consistent within a data collection. See the E</w:t>
      </w:r>
      <w:r w:rsidRPr="00555AD9">
        <w:t>MAPS</w:t>
      </w:r>
      <w:r w:rsidRPr="008A41E6">
        <w:t xml:space="preserve"> User Guide for each of the Part C 618 Data Collections for a list of edit checks (available at: </w:t>
      </w:r>
      <w:hyperlink r:id="rId12"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77777777" w:rsidR="00D21F29" w:rsidRPr="00CE7212" w:rsidRDefault="00D21F29" w:rsidP="00D21F29">
      <w:pPr>
        <w:pStyle w:val="Heading2"/>
        <w:rPr>
          <w:b w:val="0"/>
          <w:bCs w:val="0"/>
        </w:rPr>
      </w:pPr>
      <w:bookmarkStart w:id="0" w:name="_Hlk158188058"/>
      <w:r w:rsidRPr="00CE7212">
        <w:lastRenderedPageBreak/>
        <w:t>Dispute Resolution</w:t>
      </w:r>
    </w:p>
    <w:p w14:paraId="023C5A41" w14:textId="77777777" w:rsidR="00D21F29" w:rsidRPr="00CE7212" w:rsidRDefault="00D21F29" w:rsidP="00D21F29">
      <w:pPr>
        <w:rPr>
          <w:b/>
          <w:bCs/>
          <w:sz w:val="18"/>
          <w:szCs w:val="24"/>
        </w:rPr>
      </w:pPr>
      <w:r w:rsidRPr="00CE7212">
        <w:rPr>
          <w:b/>
          <w:bCs/>
          <w:sz w:val="18"/>
          <w:szCs w:val="24"/>
        </w:rPr>
        <w:t>IDEA Part C</w:t>
      </w:r>
    </w:p>
    <w:p w14:paraId="605F3046" w14:textId="77777777" w:rsidR="00D21F29" w:rsidRPr="00CE7212" w:rsidRDefault="00D21F29" w:rsidP="00D21F29">
      <w:pPr>
        <w:rPr>
          <w:b/>
          <w:bCs/>
          <w:sz w:val="18"/>
          <w:szCs w:val="24"/>
        </w:rPr>
      </w:pPr>
      <w:r w:rsidRPr="00CE7212">
        <w:rPr>
          <w:b/>
          <w:bCs/>
          <w:sz w:val="18"/>
          <w:szCs w:val="24"/>
        </w:rPr>
        <w:t>South Dakota</w:t>
      </w:r>
    </w:p>
    <w:p w14:paraId="3ECBE445" w14:textId="77777777" w:rsidR="00D21F29" w:rsidRPr="00CE7212" w:rsidRDefault="00D21F29" w:rsidP="00D21F29">
      <w:pPr>
        <w:rPr>
          <w:b/>
          <w:bCs/>
          <w:sz w:val="18"/>
          <w:szCs w:val="24"/>
        </w:rPr>
      </w:pPr>
      <w:r w:rsidRPr="00CE7212">
        <w:rPr>
          <w:b/>
          <w:bCs/>
          <w:sz w:val="18"/>
          <w:szCs w:val="24"/>
        </w:rPr>
        <w:t>Year 2022-23</w:t>
      </w:r>
    </w:p>
    <w:p w14:paraId="2F00F8B2" w14:textId="77777777" w:rsidR="00D21F29" w:rsidRPr="00597743" w:rsidRDefault="00D21F29" w:rsidP="00D21F29"/>
    <w:p w14:paraId="53517F08" w14:textId="77777777" w:rsidR="00D21F29" w:rsidRPr="00597743" w:rsidRDefault="00D21F29" w:rsidP="00D21F29">
      <w:pPr>
        <w:spacing w:before="0" w:after="0"/>
        <w:rPr>
          <w:szCs w:val="16"/>
        </w:rPr>
      </w:pPr>
      <w:r w:rsidRPr="00597743">
        <w:rPr>
          <w:szCs w:val="16"/>
        </w:rPr>
        <w:t xml:space="preserve">A zero count should be used when there were no events or occurrences to report in the specific category for the given reporting period. Check “Missing’ if the state did not collect or could not report a count for the specific category. Please provide an explanation for the missing data in the comment box at the top of the page. </w:t>
      </w:r>
    </w:p>
    <w:p w14:paraId="788342D9" w14:textId="77777777" w:rsidR="00D21F29" w:rsidRPr="00597743" w:rsidRDefault="00D21F29" w:rsidP="00D21F29">
      <w:pPr>
        <w:spacing w:before="0" w:after="0"/>
        <w:rPr>
          <w:szCs w:val="16"/>
        </w:rPr>
      </w:pPr>
    </w:p>
    <w:p w14:paraId="5EA88314" w14:textId="77777777" w:rsidR="00D21F29" w:rsidRPr="00597743" w:rsidRDefault="00D21F29" w:rsidP="00D21F29">
      <w:pPr>
        <w:rPr>
          <w:rFonts w:cs="Arial"/>
          <w:b/>
          <w:bCs/>
          <w:szCs w:val="16"/>
        </w:rPr>
      </w:pPr>
      <w:r w:rsidRPr="00597743">
        <w:rPr>
          <w:rFonts w:cs="Arial"/>
          <w:b/>
          <w:bCs/>
          <w:szCs w:val="16"/>
        </w:rPr>
        <w:t>Section A: Written, Signed Complaints</w:t>
      </w:r>
    </w:p>
    <w:tbl>
      <w:tblPr>
        <w:tblStyle w:val="TableGrid1"/>
        <w:tblW w:w="5000" w:type="pct"/>
        <w:tblLook w:val="04A0" w:firstRow="1" w:lastRow="0" w:firstColumn="1" w:lastColumn="0" w:noHBand="0" w:noVBand="1"/>
        <w:tblCaption w:val="C03ACPDQ"/>
        <w:tblDescription w:val="Section A: Written, Signed Complaints"/>
      </w:tblPr>
      <w:tblGrid>
        <w:gridCol w:w="8004"/>
        <w:gridCol w:w="2786"/>
      </w:tblGrid>
      <w:tr w:rsidR="00D21F29" w:rsidRPr="00597743" w14:paraId="1381139F"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01B98709" w14:textId="77777777" w:rsidR="00D21F29" w:rsidRPr="00597743" w:rsidRDefault="00D21F29" w:rsidP="0023758D">
            <w:pPr>
              <w:rPr>
                <w:rFonts w:cs="Arial"/>
                <w:b/>
                <w:bCs/>
                <w:szCs w:val="16"/>
              </w:rPr>
            </w:pPr>
            <w:r w:rsidRPr="00597743">
              <w:rPr>
                <w:rFonts w:cs="Arial"/>
                <w:b/>
                <w:bCs/>
                <w:szCs w:val="16"/>
              </w:rPr>
              <w:t>(1) Total number of written signed complaints filed.</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57E25E8" w14:textId="77777777" w:rsidR="00D21F29" w:rsidRPr="00597743" w:rsidRDefault="00D21F29" w:rsidP="0023758D">
            <w:pPr>
              <w:rPr>
                <w:rFonts w:cs="Arial"/>
                <w:szCs w:val="16"/>
              </w:rPr>
            </w:pPr>
            <w:r w:rsidRPr="00597743">
              <w:rPr>
                <w:rFonts w:cs="Arial"/>
                <w:szCs w:val="16"/>
              </w:rPr>
              <w:t>0</w:t>
            </w:r>
          </w:p>
        </w:tc>
      </w:tr>
      <w:tr w:rsidR="00D21F29" w:rsidRPr="00597743" w14:paraId="7A6387CD"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9DA792D" w14:textId="77777777" w:rsidR="00D21F29" w:rsidRPr="00597743" w:rsidRDefault="00D21F29" w:rsidP="0023758D">
            <w:pPr>
              <w:rPr>
                <w:rFonts w:cs="Arial"/>
                <w:szCs w:val="16"/>
              </w:rPr>
            </w:pPr>
            <w:r w:rsidRPr="00597743">
              <w:rPr>
                <w:rFonts w:cs="Arial"/>
                <w:szCs w:val="16"/>
              </w:rPr>
              <w:t>(1.1) Complaints with reports issued.</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D6798F4" w14:textId="77777777" w:rsidR="00D21F29" w:rsidRPr="00597743" w:rsidRDefault="00D21F29" w:rsidP="0023758D">
            <w:pPr>
              <w:rPr>
                <w:rFonts w:cs="Arial"/>
                <w:szCs w:val="16"/>
              </w:rPr>
            </w:pPr>
            <w:r w:rsidRPr="00597743">
              <w:rPr>
                <w:rFonts w:cs="Arial"/>
                <w:szCs w:val="16"/>
              </w:rPr>
              <w:t>0</w:t>
            </w:r>
          </w:p>
        </w:tc>
      </w:tr>
      <w:tr w:rsidR="00D21F29" w:rsidRPr="00597743" w14:paraId="2A56B790" w14:textId="77777777" w:rsidTr="0023758D">
        <w:trPr>
          <w:trHeight w:val="278"/>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75DC865" w14:textId="77777777" w:rsidR="00D21F29" w:rsidRPr="00597743" w:rsidRDefault="00D21F29" w:rsidP="0023758D">
            <w:pPr>
              <w:rPr>
                <w:rFonts w:cs="Arial"/>
                <w:szCs w:val="16"/>
              </w:rPr>
            </w:pPr>
            <w:r w:rsidRPr="00597743">
              <w:rPr>
                <w:rFonts w:cs="Arial"/>
                <w:szCs w:val="16"/>
              </w:rPr>
              <w:t>(1.1) (a) Reports with findings of noncompliance.</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3DDAD86" w14:textId="77777777" w:rsidR="00D21F29" w:rsidRPr="00597743" w:rsidRDefault="00D21F29" w:rsidP="0023758D">
            <w:pPr>
              <w:rPr>
                <w:rFonts w:cs="Arial"/>
                <w:szCs w:val="16"/>
              </w:rPr>
            </w:pPr>
            <w:r w:rsidRPr="00597743">
              <w:rPr>
                <w:rFonts w:cs="Arial"/>
                <w:szCs w:val="16"/>
              </w:rPr>
              <w:t>0</w:t>
            </w:r>
          </w:p>
        </w:tc>
      </w:tr>
      <w:tr w:rsidR="00D21F29" w:rsidRPr="00597743" w14:paraId="65DF4E02"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BCCC689" w14:textId="77777777" w:rsidR="00D21F29" w:rsidRPr="00597743" w:rsidRDefault="00D21F29" w:rsidP="0023758D">
            <w:pPr>
              <w:rPr>
                <w:rFonts w:cs="Arial"/>
                <w:szCs w:val="16"/>
              </w:rPr>
            </w:pPr>
            <w:r w:rsidRPr="00597743">
              <w:rPr>
                <w:rFonts w:cs="Arial"/>
                <w:szCs w:val="16"/>
              </w:rPr>
              <w:t>(1.1) (b) Reports within timelines.</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9E94A96" w14:textId="77777777" w:rsidR="00D21F29" w:rsidRPr="00597743" w:rsidRDefault="00D21F29" w:rsidP="0023758D">
            <w:pPr>
              <w:rPr>
                <w:rFonts w:cs="Arial"/>
                <w:szCs w:val="16"/>
              </w:rPr>
            </w:pPr>
            <w:r w:rsidRPr="00597743">
              <w:rPr>
                <w:rFonts w:cs="Arial"/>
                <w:szCs w:val="16"/>
              </w:rPr>
              <w:t>0</w:t>
            </w:r>
          </w:p>
        </w:tc>
      </w:tr>
      <w:tr w:rsidR="00D21F29" w:rsidRPr="00597743" w14:paraId="0C3DB357"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42C083AF" w14:textId="77777777" w:rsidR="00D21F29" w:rsidRPr="00597743" w:rsidRDefault="00D21F29" w:rsidP="0023758D">
            <w:pPr>
              <w:rPr>
                <w:rFonts w:cs="Arial"/>
                <w:szCs w:val="16"/>
              </w:rPr>
            </w:pPr>
            <w:r w:rsidRPr="00597743">
              <w:rPr>
                <w:rFonts w:cs="Arial"/>
                <w:szCs w:val="16"/>
              </w:rPr>
              <w:t>(1.1) (c) Reports within extended timelines.</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E88AC0F" w14:textId="77777777" w:rsidR="00D21F29" w:rsidRPr="00597743" w:rsidRDefault="00D21F29" w:rsidP="0023758D">
            <w:pPr>
              <w:rPr>
                <w:rFonts w:cs="Arial"/>
                <w:szCs w:val="16"/>
              </w:rPr>
            </w:pPr>
            <w:r w:rsidRPr="00597743">
              <w:rPr>
                <w:rFonts w:cs="Arial"/>
                <w:szCs w:val="16"/>
              </w:rPr>
              <w:t>0</w:t>
            </w:r>
          </w:p>
        </w:tc>
      </w:tr>
      <w:tr w:rsidR="00D21F29" w:rsidRPr="00597743" w14:paraId="5E8A975A"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3615B5B2" w14:textId="77777777" w:rsidR="00D21F29" w:rsidRPr="00597743" w:rsidRDefault="00D21F29" w:rsidP="0023758D">
            <w:pPr>
              <w:rPr>
                <w:rFonts w:cs="Arial"/>
                <w:szCs w:val="16"/>
              </w:rPr>
            </w:pPr>
            <w:r w:rsidRPr="00597743">
              <w:rPr>
                <w:rFonts w:cs="Arial"/>
                <w:szCs w:val="16"/>
              </w:rPr>
              <w:t xml:space="preserve">(1.2) Complaints pending.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9E84421" w14:textId="77777777" w:rsidR="00D21F29" w:rsidRPr="00597743" w:rsidRDefault="00D21F29" w:rsidP="0023758D">
            <w:pPr>
              <w:rPr>
                <w:rFonts w:cs="Arial"/>
                <w:szCs w:val="16"/>
              </w:rPr>
            </w:pPr>
            <w:r w:rsidRPr="00597743">
              <w:rPr>
                <w:rFonts w:cs="Arial"/>
                <w:szCs w:val="16"/>
              </w:rPr>
              <w:t>0</w:t>
            </w:r>
          </w:p>
        </w:tc>
      </w:tr>
      <w:tr w:rsidR="00D21F29" w:rsidRPr="00597743" w14:paraId="285C244D"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05DD5128" w14:textId="77777777" w:rsidR="00D21F29" w:rsidRPr="00597743" w:rsidRDefault="00D21F29" w:rsidP="0023758D">
            <w:pPr>
              <w:rPr>
                <w:rFonts w:cs="Arial"/>
                <w:szCs w:val="16"/>
              </w:rPr>
            </w:pPr>
            <w:r w:rsidRPr="00597743">
              <w:rPr>
                <w:rFonts w:cs="Arial"/>
                <w:szCs w:val="16"/>
              </w:rPr>
              <w:t xml:space="preserve">(1.2) (a) Complaints pending a due process hearing.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67F2FDE" w14:textId="77777777" w:rsidR="00D21F29" w:rsidRPr="00597743" w:rsidRDefault="00D21F29" w:rsidP="0023758D">
            <w:pPr>
              <w:rPr>
                <w:rFonts w:cs="Arial"/>
                <w:szCs w:val="16"/>
              </w:rPr>
            </w:pPr>
            <w:r w:rsidRPr="00597743">
              <w:rPr>
                <w:rFonts w:cs="Arial"/>
                <w:szCs w:val="16"/>
              </w:rPr>
              <w:t>0</w:t>
            </w:r>
          </w:p>
        </w:tc>
      </w:tr>
      <w:tr w:rsidR="00D21F29" w:rsidRPr="00597743" w14:paraId="0833B76F"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71E970D7" w14:textId="77777777" w:rsidR="00D21F29" w:rsidRPr="00597743" w:rsidRDefault="00D21F29" w:rsidP="0023758D">
            <w:pPr>
              <w:rPr>
                <w:rFonts w:cs="Arial"/>
                <w:szCs w:val="16"/>
              </w:rPr>
            </w:pPr>
            <w:r w:rsidRPr="00597743">
              <w:rPr>
                <w:rFonts w:cs="Arial"/>
                <w:szCs w:val="16"/>
              </w:rPr>
              <w:t xml:space="preserve">(1.3) Complaints withdrawn or dismissed.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39AE444" w14:textId="77777777" w:rsidR="00D21F29" w:rsidRPr="00597743" w:rsidRDefault="00D21F29" w:rsidP="0023758D">
            <w:pPr>
              <w:rPr>
                <w:rFonts w:cs="Arial"/>
                <w:szCs w:val="16"/>
              </w:rPr>
            </w:pPr>
            <w:r w:rsidRPr="00597743">
              <w:rPr>
                <w:rFonts w:cs="Arial"/>
                <w:szCs w:val="16"/>
              </w:rPr>
              <w:t>0</w:t>
            </w:r>
          </w:p>
        </w:tc>
      </w:tr>
    </w:tbl>
    <w:p w14:paraId="4310CFAD" w14:textId="77777777" w:rsidR="00D21F29" w:rsidRPr="00597743" w:rsidRDefault="00D21F29" w:rsidP="00D21F29">
      <w:pPr>
        <w:rPr>
          <w:rFonts w:cs="Arial"/>
          <w:b/>
          <w:bCs/>
          <w:szCs w:val="16"/>
        </w:rPr>
      </w:pPr>
    </w:p>
    <w:p w14:paraId="76FBFC15" w14:textId="77777777" w:rsidR="00D21F29" w:rsidRPr="00597743" w:rsidRDefault="00D21F29" w:rsidP="00D21F29">
      <w:pPr>
        <w:rPr>
          <w:rFonts w:cs="Arial"/>
          <w:b/>
          <w:bCs/>
          <w:szCs w:val="16"/>
        </w:rPr>
      </w:pPr>
      <w:r w:rsidRPr="00597743">
        <w:rPr>
          <w:rFonts w:cs="Arial"/>
          <w:b/>
          <w:bCs/>
          <w:szCs w:val="16"/>
        </w:rPr>
        <w:t>Section B: Mediation Requests</w:t>
      </w:r>
    </w:p>
    <w:tbl>
      <w:tblPr>
        <w:tblStyle w:val="TableGrid1"/>
        <w:tblW w:w="5000" w:type="pct"/>
        <w:tblLook w:val="04A0" w:firstRow="1" w:lastRow="0" w:firstColumn="1" w:lastColumn="0" w:noHBand="0" w:noVBand="1"/>
        <w:tblCaption w:val="C03BCPDQ"/>
        <w:tblDescription w:val="Section B: Mediation Requests"/>
      </w:tblPr>
      <w:tblGrid>
        <w:gridCol w:w="8004"/>
        <w:gridCol w:w="2786"/>
      </w:tblGrid>
      <w:tr w:rsidR="00D21F29" w:rsidRPr="00597743" w14:paraId="79CA6244"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3C02A279" w14:textId="77777777" w:rsidR="00D21F29" w:rsidRPr="00597743" w:rsidRDefault="00D21F29" w:rsidP="0023758D">
            <w:pPr>
              <w:rPr>
                <w:rFonts w:cs="Arial"/>
                <w:b/>
                <w:bCs/>
                <w:szCs w:val="16"/>
              </w:rPr>
            </w:pPr>
            <w:r w:rsidRPr="00597743">
              <w:rPr>
                <w:rFonts w:cs="Arial"/>
                <w:b/>
                <w:bCs/>
                <w:szCs w:val="16"/>
              </w:rPr>
              <w:t xml:space="preserve">(2) Total number of mediation requests received through all dispute resolution processes.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C1FC4B6" w14:textId="77777777" w:rsidR="00D21F29" w:rsidRPr="00597743" w:rsidRDefault="00D21F29" w:rsidP="0023758D">
            <w:pPr>
              <w:rPr>
                <w:rFonts w:cs="Arial"/>
                <w:szCs w:val="16"/>
              </w:rPr>
            </w:pPr>
            <w:r w:rsidRPr="00597743">
              <w:rPr>
                <w:rFonts w:cs="Arial"/>
                <w:szCs w:val="16"/>
              </w:rPr>
              <w:t>0</w:t>
            </w:r>
          </w:p>
        </w:tc>
      </w:tr>
      <w:tr w:rsidR="00D21F29" w:rsidRPr="00597743" w14:paraId="6D99FDFB"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6428B6F9" w14:textId="77777777" w:rsidR="00D21F29" w:rsidRPr="00597743" w:rsidRDefault="00D21F29" w:rsidP="0023758D">
            <w:pPr>
              <w:rPr>
                <w:rFonts w:cs="Arial"/>
                <w:szCs w:val="16"/>
              </w:rPr>
            </w:pPr>
            <w:r w:rsidRPr="00597743">
              <w:rPr>
                <w:rFonts w:cs="Arial"/>
                <w:szCs w:val="16"/>
              </w:rPr>
              <w:t xml:space="preserve">(2.1) Mediations held.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9005A6F" w14:textId="77777777" w:rsidR="00D21F29" w:rsidRPr="00597743" w:rsidRDefault="00D21F29" w:rsidP="0023758D">
            <w:pPr>
              <w:rPr>
                <w:rFonts w:cs="Arial"/>
                <w:szCs w:val="16"/>
              </w:rPr>
            </w:pPr>
            <w:r w:rsidRPr="00597743">
              <w:rPr>
                <w:rFonts w:cs="Arial"/>
                <w:szCs w:val="16"/>
              </w:rPr>
              <w:t>0</w:t>
            </w:r>
          </w:p>
        </w:tc>
      </w:tr>
      <w:tr w:rsidR="00D21F29" w:rsidRPr="00597743" w14:paraId="2A345FEA" w14:textId="77777777" w:rsidTr="0023758D">
        <w:trPr>
          <w:trHeight w:val="278"/>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47B18616" w14:textId="77777777" w:rsidR="00D21F29" w:rsidRPr="00597743" w:rsidRDefault="00D21F29" w:rsidP="0023758D">
            <w:pPr>
              <w:rPr>
                <w:rFonts w:cs="Arial"/>
                <w:szCs w:val="16"/>
              </w:rPr>
            </w:pPr>
            <w:r w:rsidRPr="00597743">
              <w:rPr>
                <w:rFonts w:cs="Arial"/>
                <w:szCs w:val="16"/>
              </w:rPr>
              <w:t xml:space="preserve">(2.1) (a) Mediations held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071D63C" w14:textId="77777777" w:rsidR="00D21F29" w:rsidRPr="00597743" w:rsidRDefault="00D21F29" w:rsidP="0023758D">
            <w:pPr>
              <w:rPr>
                <w:rFonts w:cs="Arial"/>
                <w:szCs w:val="16"/>
              </w:rPr>
            </w:pPr>
            <w:r w:rsidRPr="00597743">
              <w:rPr>
                <w:rFonts w:cs="Arial"/>
                <w:szCs w:val="16"/>
              </w:rPr>
              <w:t>0</w:t>
            </w:r>
          </w:p>
        </w:tc>
      </w:tr>
      <w:tr w:rsidR="00D21F29" w:rsidRPr="00597743" w14:paraId="7C711A82"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36505C9E" w14:textId="77777777" w:rsidR="00D21F29" w:rsidRPr="00597743" w:rsidRDefault="00D21F29" w:rsidP="0023758D">
            <w:pPr>
              <w:rPr>
                <w:rFonts w:cs="Arial"/>
                <w:szCs w:val="16"/>
              </w:rPr>
            </w:pPr>
            <w:r w:rsidRPr="00597743">
              <w:rPr>
                <w:rFonts w:cs="Arial"/>
                <w:szCs w:val="16"/>
              </w:rPr>
              <w:t xml:space="preserve">(2.1) (a) (i) Mediation agreements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3FDD8C0" w14:textId="77777777" w:rsidR="00D21F29" w:rsidRPr="00597743" w:rsidRDefault="00D21F29" w:rsidP="0023758D">
            <w:pPr>
              <w:rPr>
                <w:rFonts w:cs="Arial"/>
                <w:szCs w:val="16"/>
              </w:rPr>
            </w:pPr>
            <w:r w:rsidRPr="00597743">
              <w:rPr>
                <w:rFonts w:cs="Arial"/>
                <w:szCs w:val="16"/>
              </w:rPr>
              <w:t>0</w:t>
            </w:r>
          </w:p>
        </w:tc>
      </w:tr>
      <w:tr w:rsidR="00D21F29" w:rsidRPr="00597743" w14:paraId="24E8C154"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A12E87C" w14:textId="77777777" w:rsidR="00D21F29" w:rsidRPr="00597743" w:rsidRDefault="00D21F29" w:rsidP="0023758D">
            <w:pPr>
              <w:rPr>
                <w:rFonts w:cs="Arial"/>
                <w:szCs w:val="16"/>
              </w:rPr>
            </w:pPr>
            <w:r w:rsidRPr="00597743">
              <w:rPr>
                <w:rFonts w:cs="Arial"/>
                <w:szCs w:val="16"/>
              </w:rPr>
              <w:t xml:space="preserve">(2.1) (b) Mediations held no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26DAF3E" w14:textId="77777777" w:rsidR="00D21F29" w:rsidRPr="00597743" w:rsidRDefault="00D21F29" w:rsidP="0023758D">
            <w:pPr>
              <w:rPr>
                <w:rFonts w:cs="Arial"/>
                <w:szCs w:val="16"/>
              </w:rPr>
            </w:pPr>
            <w:r w:rsidRPr="00597743">
              <w:rPr>
                <w:rFonts w:cs="Arial"/>
                <w:szCs w:val="16"/>
              </w:rPr>
              <w:t>0</w:t>
            </w:r>
          </w:p>
        </w:tc>
      </w:tr>
      <w:tr w:rsidR="00D21F29" w:rsidRPr="00597743" w14:paraId="12462363"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04D8B43" w14:textId="77777777" w:rsidR="00D21F29" w:rsidRPr="00597743" w:rsidRDefault="00D21F29" w:rsidP="0023758D">
            <w:pPr>
              <w:rPr>
                <w:rFonts w:cs="Arial"/>
                <w:szCs w:val="16"/>
              </w:rPr>
            </w:pPr>
            <w:r w:rsidRPr="00597743">
              <w:rPr>
                <w:rFonts w:cs="Arial"/>
                <w:szCs w:val="16"/>
              </w:rPr>
              <w:t xml:space="preserve">(2.1) (b) (i) Mediation agreements not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9E4315B" w14:textId="77777777" w:rsidR="00D21F29" w:rsidRPr="00597743" w:rsidRDefault="00D21F29" w:rsidP="0023758D">
            <w:pPr>
              <w:rPr>
                <w:rFonts w:cs="Arial"/>
                <w:szCs w:val="16"/>
              </w:rPr>
            </w:pPr>
            <w:r w:rsidRPr="00597743">
              <w:rPr>
                <w:rFonts w:cs="Arial"/>
                <w:szCs w:val="16"/>
              </w:rPr>
              <w:t>0</w:t>
            </w:r>
          </w:p>
        </w:tc>
      </w:tr>
      <w:tr w:rsidR="00D21F29" w:rsidRPr="00597743" w14:paraId="2CA154DF"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7C850B4" w14:textId="77777777" w:rsidR="00D21F29" w:rsidRPr="00597743" w:rsidRDefault="00D21F29" w:rsidP="0023758D">
            <w:pPr>
              <w:rPr>
                <w:rFonts w:cs="Arial"/>
                <w:szCs w:val="16"/>
              </w:rPr>
            </w:pPr>
            <w:r w:rsidRPr="00597743">
              <w:rPr>
                <w:rFonts w:cs="Arial"/>
                <w:szCs w:val="16"/>
              </w:rPr>
              <w:t xml:space="preserve">(2.2) Mediations pending.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ACCC4A9" w14:textId="77777777" w:rsidR="00D21F29" w:rsidRPr="00597743" w:rsidRDefault="00D21F29" w:rsidP="0023758D">
            <w:pPr>
              <w:rPr>
                <w:rFonts w:cs="Arial"/>
                <w:szCs w:val="16"/>
              </w:rPr>
            </w:pPr>
            <w:r w:rsidRPr="00597743">
              <w:rPr>
                <w:rFonts w:cs="Arial"/>
                <w:szCs w:val="16"/>
              </w:rPr>
              <w:t>0</w:t>
            </w:r>
          </w:p>
        </w:tc>
      </w:tr>
      <w:tr w:rsidR="00D21F29" w:rsidRPr="00597743" w14:paraId="1D8F5051"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4441C1CF" w14:textId="77777777" w:rsidR="00D21F29" w:rsidRPr="00597743" w:rsidRDefault="00D21F29" w:rsidP="0023758D">
            <w:pPr>
              <w:rPr>
                <w:rFonts w:cs="Arial"/>
                <w:szCs w:val="16"/>
              </w:rPr>
            </w:pPr>
            <w:r w:rsidRPr="00597743">
              <w:rPr>
                <w:rFonts w:cs="Arial"/>
                <w:szCs w:val="16"/>
              </w:rPr>
              <w:t xml:space="preserve">(2.3) Mediations not held.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9B4F107" w14:textId="77777777" w:rsidR="00D21F29" w:rsidRPr="00597743" w:rsidRDefault="00D21F29" w:rsidP="0023758D">
            <w:pPr>
              <w:rPr>
                <w:rFonts w:cs="Arial"/>
                <w:szCs w:val="16"/>
              </w:rPr>
            </w:pPr>
            <w:r w:rsidRPr="00597743">
              <w:rPr>
                <w:rFonts w:cs="Arial"/>
                <w:szCs w:val="16"/>
              </w:rPr>
              <w:t>0</w:t>
            </w:r>
          </w:p>
        </w:tc>
      </w:tr>
    </w:tbl>
    <w:p w14:paraId="1E0904CD" w14:textId="77777777" w:rsidR="00D21F29" w:rsidRPr="00597743" w:rsidRDefault="00D21F29" w:rsidP="00D21F29">
      <w:pPr>
        <w:rPr>
          <w:rFonts w:cs="Arial"/>
          <w:b/>
          <w:bCs/>
          <w:szCs w:val="16"/>
        </w:rPr>
      </w:pPr>
    </w:p>
    <w:p w14:paraId="5B09E9FD" w14:textId="77777777" w:rsidR="00D21F29" w:rsidRPr="00597743" w:rsidRDefault="00D21F29" w:rsidP="00D21F29">
      <w:pPr>
        <w:rPr>
          <w:rFonts w:cs="Arial"/>
          <w:b/>
          <w:bCs/>
          <w:szCs w:val="16"/>
        </w:rPr>
      </w:pPr>
      <w:r w:rsidRPr="00597743">
        <w:rPr>
          <w:rFonts w:cs="Arial"/>
          <w:b/>
          <w:bCs/>
          <w:szCs w:val="16"/>
        </w:rPr>
        <w:t>Section C: Due Process Complaints</w:t>
      </w:r>
    </w:p>
    <w:tbl>
      <w:tblPr>
        <w:tblStyle w:val="TableGrid1"/>
        <w:tblW w:w="5000" w:type="pct"/>
        <w:tblLook w:val="04A0" w:firstRow="1" w:lastRow="0" w:firstColumn="1" w:lastColumn="0" w:noHBand="0" w:noVBand="1"/>
        <w:tblCaption w:val="C03CCPDQ"/>
        <w:tblDescription w:val="Section C: Due Process Complaints "/>
      </w:tblPr>
      <w:tblGrid>
        <w:gridCol w:w="8004"/>
        <w:gridCol w:w="2786"/>
      </w:tblGrid>
      <w:tr w:rsidR="00D21F29" w:rsidRPr="00597743" w14:paraId="078F6E85"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6626D9F" w14:textId="77777777" w:rsidR="00D21F29" w:rsidRPr="00597743" w:rsidRDefault="00D21F29" w:rsidP="0023758D">
            <w:pPr>
              <w:rPr>
                <w:rFonts w:cs="Arial"/>
                <w:b/>
                <w:bCs/>
                <w:szCs w:val="16"/>
              </w:rPr>
            </w:pPr>
            <w:r w:rsidRPr="00597743">
              <w:rPr>
                <w:rFonts w:cs="Arial"/>
                <w:b/>
                <w:bCs/>
                <w:szCs w:val="16"/>
              </w:rPr>
              <w:t xml:space="preserve">(3) Total number of due process complaints filed.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9143704" w14:textId="77777777" w:rsidR="00D21F29" w:rsidRPr="00597743" w:rsidRDefault="00D21F29" w:rsidP="0023758D">
            <w:pPr>
              <w:rPr>
                <w:rFonts w:cs="Arial"/>
                <w:szCs w:val="16"/>
              </w:rPr>
            </w:pPr>
            <w:r w:rsidRPr="00597743">
              <w:rPr>
                <w:rFonts w:cs="Arial"/>
                <w:szCs w:val="16"/>
              </w:rPr>
              <w:t>0</w:t>
            </w:r>
          </w:p>
        </w:tc>
      </w:tr>
      <w:tr w:rsidR="00D21F29" w:rsidRPr="00597743" w14:paraId="7FDAEBAB"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48FA488" w14:textId="77777777" w:rsidR="00D21F29" w:rsidRPr="00597743" w:rsidRDefault="00D21F29" w:rsidP="0023758D">
            <w:pPr>
              <w:rPr>
                <w:rFonts w:cs="Arial"/>
                <w:szCs w:val="16"/>
              </w:rPr>
            </w:pPr>
            <w:r w:rsidRPr="00597743">
              <w:rPr>
                <w:rFonts w:cs="Arial"/>
                <w:szCs w:val="16"/>
              </w:rPr>
              <w:t>Has your state adopted Part C due process hearing procedures under 34 CFR 303.430(d)(1) or Part B due process hearing procedures under 34 CFR 303.430(d)(2)?</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5A7C26F" w14:textId="77777777" w:rsidR="00D21F29" w:rsidRPr="00597743" w:rsidRDefault="00D21F29" w:rsidP="0023758D">
            <w:pPr>
              <w:rPr>
                <w:rFonts w:cs="Arial"/>
                <w:szCs w:val="16"/>
              </w:rPr>
            </w:pPr>
            <w:r w:rsidRPr="00597743">
              <w:rPr>
                <w:rFonts w:cs="Arial"/>
                <w:szCs w:val="16"/>
              </w:rPr>
              <w:t>PARTB</w:t>
            </w:r>
          </w:p>
        </w:tc>
      </w:tr>
      <w:tr w:rsidR="00D21F29" w:rsidRPr="00597743" w14:paraId="74ACBDC6" w14:textId="77777777" w:rsidTr="0023758D">
        <w:trPr>
          <w:trHeight w:val="278"/>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0C900D0A" w14:textId="77777777" w:rsidR="00D21F29" w:rsidRPr="00597743" w:rsidRDefault="00D21F29" w:rsidP="0023758D">
            <w:pPr>
              <w:rPr>
                <w:rFonts w:cs="Arial"/>
                <w:szCs w:val="16"/>
              </w:rPr>
            </w:pPr>
            <w:r w:rsidRPr="00597743">
              <w:rPr>
                <w:rFonts w:cs="Arial"/>
                <w:szCs w:val="16"/>
              </w:rPr>
              <w:t>(3.1) Resolution meetings (applicable ONLY for states using Part B due process hearing procedures).</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D50ED50" w14:textId="77777777" w:rsidR="00D21F29" w:rsidRPr="00597743" w:rsidRDefault="00D21F29" w:rsidP="0023758D">
            <w:pPr>
              <w:rPr>
                <w:rFonts w:cs="Arial"/>
                <w:szCs w:val="16"/>
              </w:rPr>
            </w:pPr>
            <w:r w:rsidRPr="00597743">
              <w:rPr>
                <w:rFonts w:cs="Arial"/>
                <w:szCs w:val="16"/>
              </w:rPr>
              <w:t>0</w:t>
            </w:r>
          </w:p>
        </w:tc>
      </w:tr>
      <w:tr w:rsidR="00D21F29" w:rsidRPr="00597743" w14:paraId="29F4AB55"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1F9391C" w14:textId="77777777" w:rsidR="00D21F29" w:rsidRPr="00597743" w:rsidRDefault="00D21F29" w:rsidP="0023758D">
            <w:pPr>
              <w:rPr>
                <w:rFonts w:cs="Arial"/>
                <w:szCs w:val="16"/>
              </w:rPr>
            </w:pPr>
            <w:r w:rsidRPr="00597743">
              <w:rPr>
                <w:rFonts w:cs="Arial"/>
                <w:szCs w:val="16"/>
              </w:rPr>
              <w:t xml:space="preserve">(3.1) (a) Written settlement agreements reached through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110BB77" w14:textId="77777777" w:rsidR="00D21F29" w:rsidRPr="00597743" w:rsidRDefault="00D21F29" w:rsidP="0023758D">
            <w:pPr>
              <w:rPr>
                <w:rFonts w:cs="Arial"/>
                <w:szCs w:val="16"/>
              </w:rPr>
            </w:pPr>
            <w:r w:rsidRPr="00597743">
              <w:rPr>
                <w:rFonts w:cs="Arial"/>
                <w:szCs w:val="16"/>
              </w:rPr>
              <w:t>0</w:t>
            </w:r>
          </w:p>
        </w:tc>
      </w:tr>
      <w:tr w:rsidR="00D21F29" w:rsidRPr="00597743" w14:paraId="2C0BD5D8"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A5DB352" w14:textId="77777777" w:rsidR="00D21F29" w:rsidRPr="00597743" w:rsidRDefault="00D21F29" w:rsidP="0023758D">
            <w:pPr>
              <w:rPr>
                <w:rFonts w:cs="Arial"/>
                <w:szCs w:val="16"/>
              </w:rPr>
            </w:pPr>
            <w:r w:rsidRPr="00597743">
              <w:rPr>
                <w:rFonts w:cs="Arial"/>
                <w:szCs w:val="16"/>
              </w:rPr>
              <w:t xml:space="preserve">(3.2) Hearings fully adjudicated.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7B529A7" w14:textId="77777777" w:rsidR="00D21F29" w:rsidRPr="00597743" w:rsidRDefault="00D21F29" w:rsidP="0023758D">
            <w:pPr>
              <w:rPr>
                <w:rFonts w:cs="Arial"/>
                <w:szCs w:val="16"/>
              </w:rPr>
            </w:pPr>
            <w:r w:rsidRPr="00597743">
              <w:rPr>
                <w:rFonts w:cs="Arial"/>
                <w:szCs w:val="16"/>
              </w:rPr>
              <w:t>0</w:t>
            </w:r>
          </w:p>
        </w:tc>
      </w:tr>
      <w:tr w:rsidR="00D21F29" w:rsidRPr="00597743" w14:paraId="15D7F358"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D1781B4" w14:textId="77777777" w:rsidR="00D21F29" w:rsidRPr="00597743" w:rsidRDefault="00D21F29" w:rsidP="0023758D">
            <w:pPr>
              <w:rPr>
                <w:rFonts w:cs="Arial"/>
                <w:szCs w:val="16"/>
              </w:rPr>
            </w:pPr>
            <w:r w:rsidRPr="00597743">
              <w:rPr>
                <w:rFonts w:cs="Arial"/>
                <w:szCs w:val="16"/>
              </w:rPr>
              <w:t xml:space="preserve">(3.2) (a) Decisions within timeline.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9D7C61B" w14:textId="77777777" w:rsidR="00D21F29" w:rsidRPr="00597743" w:rsidRDefault="00D21F29" w:rsidP="0023758D">
            <w:pPr>
              <w:rPr>
                <w:rFonts w:cs="Arial"/>
                <w:szCs w:val="16"/>
              </w:rPr>
            </w:pPr>
            <w:r w:rsidRPr="00597743">
              <w:rPr>
                <w:rFonts w:cs="Arial"/>
                <w:szCs w:val="16"/>
              </w:rPr>
              <w:t>0</w:t>
            </w:r>
          </w:p>
        </w:tc>
      </w:tr>
      <w:tr w:rsidR="00D21F29" w:rsidRPr="00597743" w14:paraId="0DA8939E"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89F4246" w14:textId="77777777" w:rsidR="00D21F29" w:rsidRPr="00597743" w:rsidRDefault="00D21F29" w:rsidP="0023758D">
            <w:pPr>
              <w:rPr>
                <w:rFonts w:cs="Arial"/>
                <w:szCs w:val="16"/>
              </w:rPr>
            </w:pPr>
            <w:r w:rsidRPr="00597743">
              <w:rPr>
                <w:rFonts w:cs="Arial"/>
                <w:szCs w:val="16"/>
              </w:rPr>
              <w:t>(3.2) (b) Decisions within extended timeline.</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0BE3FF6" w14:textId="77777777" w:rsidR="00D21F29" w:rsidRPr="00597743" w:rsidRDefault="00D21F29" w:rsidP="0023758D">
            <w:pPr>
              <w:rPr>
                <w:rFonts w:cs="Arial"/>
                <w:szCs w:val="16"/>
              </w:rPr>
            </w:pPr>
            <w:r w:rsidRPr="00597743">
              <w:rPr>
                <w:rFonts w:cs="Arial"/>
                <w:szCs w:val="16"/>
              </w:rPr>
              <w:t>0</w:t>
            </w:r>
          </w:p>
        </w:tc>
      </w:tr>
      <w:tr w:rsidR="00D21F29" w:rsidRPr="00597743" w14:paraId="466514CB"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733C04F" w14:textId="77777777" w:rsidR="00D21F29" w:rsidRPr="00597743" w:rsidRDefault="00D21F29" w:rsidP="0023758D">
            <w:pPr>
              <w:rPr>
                <w:rFonts w:cs="Arial"/>
                <w:szCs w:val="16"/>
              </w:rPr>
            </w:pPr>
            <w:r w:rsidRPr="00597743">
              <w:rPr>
                <w:rFonts w:cs="Arial"/>
                <w:szCs w:val="16"/>
              </w:rPr>
              <w:t xml:space="preserve">(3.3) Hearings pending.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7655B1C" w14:textId="77777777" w:rsidR="00D21F29" w:rsidRPr="00597743" w:rsidRDefault="00D21F29" w:rsidP="0023758D">
            <w:pPr>
              <w:rPr>
                <w:rFonts w:cs="Arial"/>
                <w:szCs w:val="16"/>
              </w:rPr>
            </w:pPr>
            <w:r w:rsidRPr="00597743">
              <w:rPr>
                <w:rFonts w:cs="Arial"/>
                <w:szCs w:val="16"/>
              </w:rPr>
              <w:t>0</w:t>
            </w:r>
          </w:p>
        </w:tc>
      </w:tr>
      <w:tr w:rsidR="00D21F29" w:rsidRPr="00597743" w14:paraId="08FC19D5"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EDB7E7F" w14:textId="77777777" w:rsidR="00D21F29" w:rsidRPr="00597743" w:rsidRDefault="00D21F29" w:rsidP="0023758D">
            <w:pPr>
              <w:rPr>
                <w:rFonts w:cs="Arial"/>
                <w:szCs w:val="16"/>
              </w:rPr>
            </w:pPr>
            <w:r w:rsidRPr="00597743">
              <w:rPr>
                <w:rFonts w:cs="Arial"/>
                <w:szCs w:val="16"/>
              </w:rPr>
              <w:t>(3.4) Due process complaints withdrawn or dismissed (including resolved without a hearing).</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590A44E" w14:textId="77777777" w:rsidR="00D21F29" w:rsidRPr="00597743" w:rsidRDefault="00D21F29" w:rsidP="0023758D">
            <w:pPr>
              <w:rPr>
                <w:rFonts w:cs="Arial"/>
                <w:szCs w:val="16"/>
              </w:rPr>
            </w:pPr>
            <w:r w:rsidRPr="00597743">
              <w:rPr>
                <w:rFonts w:cs="Arial"/>
                <w:szCs w:val="16"/>
              </w:rPr>
              <w:t>0</w:t>
            </w:r>
          </w:p>
        </w:tc>
      </w:tr>
    </w:tbl>
    <w:p w14:paraId="4A77BD85" w14:textId="77777777" w:rsidR="00D21F29" w:rsidRPr="00597743" w:rsidRDefault="00D21F29" w:rsidP="00D21F29">
      <w:pPr>
        <w:spacing w:before="0" w:after="0"/>
      </w:pPr>
    </w:p>
    <w:p w14:paraId="6EAE798B" w14:textId="77777777" w:rsidR="00D21F29" w:rsidRPr="00597743" w:rsidRDefault="00D21F29" w:rsidP="00D21F29">
      <w:pPr>
        <w:spacing w:before="0" w:after="0"/>
        <w:rPr>
          <w:b/>
          <w:bCs/>
        </w:rPr>
      </w:pPr>
      <w:r w:rsidRPr="00597743">
        <w:rPr>
          <w:b/>
          <w:bCs/>
        </w:rPr>
        <w:t xml:space="preserve">State Comments: </w:t>
      </w:r>
    </w:p>
    <w:p w14:paraId="3679CEB8" w14:textId="77777777" w:rsidR="00D21F29" w:rsidRPr="00597743" w:rsidRDefault="00D21F29" w:rsidP="00D21F29">
      <w:pPr>
        <w:spacing w:before="0" w:after="0"/>
      </w:pPr>
    </w:p>
    <w:p w14:paraId="79FC412E" w14:textId="77777777" w:rsidR="00D21F29" w:rsidRPr="00597743" w:rsidRDefault="00D21F29" w:rsidP="00D21F29">
      <w:pPr>
        <w:spacing w:before="0" w:after="0"/>
      </w:pPr>
    </w:p>
    <w:p w14:paraId="143166FD" w14:textId="77777777" w:rsidR="00D21F29" w:rsidRPr="00597743" w:rsidRDefault="00D21F29" w:rsidP="00D21F29">
      <w:pPr>
        <w:spacing w:before="0" w:after="0"/>
      </w:pPr>
    </w:p>
    <w:p w14:paraId="71021384" w14:textId="12AB5682" w:rsidR="005E10AF" w:rsidRPr="005E10AF" w:rsidRDefault="00D21F29" w:rsidP="005E10AF">
      <w:pPr>
        <w:spacing w:before="0" w:after="0"/>
        <w:rPr>
          <w:b/>
          <w:bCs/>
        </w:rPr>
      </w:pPr>
      <w:r w:rsidRPr="005E10AF">
        <w:rPr>
          <w:b/>
          <w:bCs/>
        </w:rPr>
        <w:t>This report shows the most recent data that was entered by</w:t>
      </w:r>
      <w:r w:rsidR="005E10AF" w:rsidRPr="005E10AF">
        <w:rPr>
          <w:b/>
          <w:bCs/>
        </w:rPr>
        <w:t>:</w:t>
      </w:r>
    </w:p>
    <w:p w14:paraId="0CE90B53" w14:textId="6E617C64" w:rsidR="005E10AF" w:rsidRDefault="00D21F29" w:rsidP="00D21F29">
      <w:pPr>
        <w:spacing w:before="0" w:after="200" w:line="276" w:lineRule="auto"/>
      </w:pPr>
      <w:r w:rsidRPr="00597743">
        <w:t>South Dakota</w:t>
      </w:r>
    </w:p>
    <w:p w14:paraId="34F7578B" w14:textId="77777777" w:rsidR="005E10AF" w:rsidRPr="005E10AF" w:rsidRDefault="00D21F29" w:rsidP="005E10AF">
      <w:pPr>
        <w:spacing w:before="0" w:after="0"/>
        <w:rPr>
          <w:b/>
          <w:bCs/>
        </w:rPr>
      </w:pPr>
      <w:r w:rsidRPr="005E10AF">
        <w:rPr>
          <w:b/>
          <w:bCs/>
        </w:rPr>
        <w:t>These data were extracted on the close date</w:t>
      </w:r>
      <w:r w:rsidR="005E10AF" w:rsidRPr="005E10AF">
        <w:rPr>
          <w:b/>
          <w:bCs/>
        </w:rPr>
        <w:t>:</w:t>
      </w:r>
    </w:p>
    <w:p w14:paraId="2D73293C" w14:textId="39600D9F" w:rsidR="00A241E8" w:rsidRDefault="00D21F29" w:rsidP="00D21F29">
      <w:pPr>
        <w:spacing w:before="0" w:after="200" w:line="276" w:lineRule="auto"/>
      </w:pPr>
      <w:r w:rsidRPr="00597743">
        <w:t>11/15/2023</w:t>
      </w:r>
      <w:bookmarkEnd w:id="0"/>
    </w:p>
    <w:p w14:paraId="1C92960C" w14:textId="3E9313DD" w:rsidR="005E10AF" w:rsidRDefault="005E10AF">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48F26BF5"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2024 will be posted in June 2024.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7D0D8BAA" w:rsidR="00FD047C" w:rsidRDefault="00000000" w:rsidP="002D491B">
      <w:pPr>
        <w:spacing w:before="0" w:after="200" w:line="276" w:lineRule="auto"/>
        <w:rPr>
          <w:rStyle w:val="Hyperlink"/>
          <w:szCs w:val="16"/>
        </w:rPr>
      </w:pPr>
      <w:hyperlink r:id="rId13" w:history="1">
        <w:r w:rsidR="00496C09" w:rsidRPr="004D63DC">
          <w:rPr>
            <w:rStyle w:val="Hyperlink"/>
            <w:szCs w:val="16"/>
          </w:rPr>
          <w:t>https://sites.ed.gov/idea/how-the-department-made-determinations/</w:t>
        </w:r>
      </w:hyperlink>
    </w:p>
    <w:p w14:paraId="0CA4F547" w14:textId="77777777" w:rsidR="00D21F29" w:rsidRDefault="00D21F29" w:rsidP="002D491B">
      <w:pPr>
        <w:spacing w:before="0" w:after="200" w:line="276" w:lineRule="auto"/>
        <w:rPr>
          <w:rStyle w:val="Hyperlink"/>
          <w:szCs w:val="16"/>
        </w:rPr>
      </w:pPr>
    </w:p>
    <w:p w14:paraId="697CB0C6" w14:textId="6F96819B" w:rsidR="00D21F29" w:rsidRDefault="00D21F29">
      <w:pPr>
        <w:spacing w:before="0" w:after="200" w:line="276" w:lineRule="auto"/>
        <w:rPr>
          <w:rStyle w:val="Hyperlink"/>
          <w:szCs w:val="16"/>
        </w:rPr>
      </w:pPr>
      <w:r>
        <w:rPr>
          <w:rStyle w:val="Hyperlink"/>
          <w:szCs w:val="16"/>
        </w:rPr>
        <w:br w:type="page"/>
      </w:r>
    </w:p>
    <w:p w14:paraId="755D434F" w14:textId="77777777" w:rsidR="00D21F29" w:rsidRDefault="00D21F29" w:rsidP="002D491B">
      <w:pPr>
        <w:spacing w:before="0" w:after="200" w:line="276" w:lineRule="auto"/>
        <w:rPr>
          <w:rFonts w:cs="Arial"/>
          <w:b/>
          <w:bCs/>
          <w:szCs w:val="16"/>
        </w:rPr>
        <w:sectPr w:rsidR="00D21F29" w:rsidSect="00BF3AB4">
          <w:footerReference w:type="default" r:id="rId14"/>
          <w:pgSz w:w="12240" w:h="15840"/>
          <w:pgMar w:top="720" w:right="720" w:bottom="720" w:left="720" w:header="0" w:footer="445" w:gutter="0"/>
          <w:cols w:space="720"/>
          <w:docGrid w:linePitch="218"/>
        </w:sectPr>
      </w:pPr>
    </w:p>
    <w:p w14:paraId="22C54C5E" w14:textId="77777777" w:rsidR="00D21F29" w:rsidRPr="00597743" w:rsidRDefault="00D21F29" w:rsidP="00D21F29">
      <w:pPr>
        <w:pStyle w:val="Heading2"/>
      </w:pPr>
      <w:r w:rsidRPr="00597743">
        <w:lastRenderedPageBreak/>
        <w:t xml:space="preserve">Final Determination Letter </w:t>
      </w:r>
    </w:p>
    <w:p w14:paraId="060F7750" w14:textId="77777777" w:rsidR="00D21F29" w:rsidRPr="00CE7212" w:rsidRDefault="00D21F29" w:rsidP="00D21F29">
      <w:pPr>
        <w:spacing w:before="0" w:after="200" w:line="276" w:lineRule="auto"/>
        <w:rPr>
          <w:rFonts w:eastAsiaTheme="majorEastAsia" w:cstheme="majorBidi"/>
          <w:b/>
          <w:bCs/>
          <w:sz w:val="20"/>
          <w:szCs w:val="26"/>
        </w:rPr>
      </w:pPr>
    </w:p>
    <w:p w14:paraId="1A60DE47" w14:textId="635BDC2D" w:rsidR="00D21F29" w:rsidRPr="00597743" w:rsidRDefault="00D21F29" w:rsidP="00D21F29">
      <w:pPr>
        <w:spacing w:before="0"/>
        <w:jc w:val="center"/>
        <w:rPr>
          <w:rFonts w:ascii="Times New Roman" w:hAnsi="Times New Roman"/>
          <w:sz w:val="24"/>
        </w:rPr>
      </w:pPr>
      <w:r w:rsidRPr="00597743">
        <w:t xml:space="preserve">June </w:t>
      </w:r>
      <w:r w:rsidR="00643754">
        <w:t>18</w:t>
      </w:r>
      <w:r w:rsidRPr="00597743">
        <w:rPr>
          <w:szCs w:val="24"/>
        </w:rPr>
        <w:t xml:space="preserve">, </w:t>
      </w:r>
      <w:r w:rsidRPr="00597743">
        <w:t>2024</w:t>
      </w:r>
    </w:p>
    <w:p w14:paraId="113C15B3" w14:textId="77777777" w:rsidR="00D21F29" w:rsidRPr="00597743" w:rsidRDefault="00D21F29" w:rsidP="00D21F29">
      <w:pPr>
        <w:rPr>
          <w:szCs w:val="24"/>
        </w:rPr>
      </w:pPr>
      <w:r w:rsidRPr="00597743">
        <w:rPr>
          <w:szCs w:val="24"/>
        </w:rPr>
        <w:t>Honorable Joseph Graves</w:t>
      </w:r>
    </w:p>
    <w:p w14:paraId="49192794" w14:textId="77777777" w:rsidR="00D21F29" w:rsidRPr="00597743" w:rsidRDefault="00D21F29" w:rsidP="00D21F29">
      <w:pPr>
        <w:spacing w:before="0"/>
        <w:rPr>
          <w:szCs w:val="24"/>
        </w:rPr>
      </w:pPr>
      <w:r w:rsidRPr="00597743">
        <w:rPr>
          <w:szCs w:val="24"/>
        </w:rPr>
        <w:t>Secretary of Education</w:t>
      </w:r>
    </w:p>
    <w:p w14:paraId="65103167" w14:textId="77777777" w:rsidR="00D21F29" w:rsidRPr="00597743" w:rsidRDefault="00D21F29" w:rsidP="00D21F29">
      <w:pPr>
        <w:spacing w:before="0"/>
        <w:rPr>
          <w:szCs w:val="24"/>
        </w:rPr>
      </w:pPr>
      <w:r w:rsidRPr="00597743">
        <w:rPr>
          <w:szCs w:val="24"/>
        </w:rPr>
        <w:t>South Dakota Department of Education</w:t>
      </w:r>
    </w:p>
    <w:p w14:paraId="3944380D" w14:textId="77777777" w:rsidR="00D21F29" w:rsidRPr="00597743" w:rsidRDefault="00D21F29" w:rsidP="00D21F29">
      <w:pPr>
        <w:spacing w:before="0"/>
        <w:rPr>
          <w:szCs w:val="24"/>
        </w:rPr>
      </w:pPr>
      <w:r w:rsidRPr="00597743">
        <w:rPr>
          <w:szCs w:val="24"/>
        </w:rPr>
        <w:t>800 Governors Drive</w:t>
      </w:r>
    </w:p>
    <w:p w14:paraId="09271953" w14:textId="77777777" w:rsidR="00D21F29" w:rsidRPr="00597743" w:rsidRDefault="00D21F29" w:rsidP="00D21F29">
      <w:pPr>
        <w:spacing w:before="0"/>
        <w:rPr>
          <w:szCs w:val="24"/>
        </w:rPr>
      </w:pPr>
      <w:proofErr w:type="gramStart"/>
      <w:r w:rsidRPr="00597743">
        <w:rPr>
          <w:szCs w:val="24"/>
        </w:rPr>
        <w:t>Pierre,  57501</w:t>
      </w:r>
      <w:proofErr w:type="gramEnd"/>
    </w:p>
    <w:p w14:paraId="68207178" w14:textId="77777777" w:rsidR="002E2B1F" w:rsidRPr="00597743" w:rsidRDefault="002E2B1F" w:rsidP="00D21F29">
      <w:pPr>
        <w:spacing w:before="0"/>
        <w:rPr>
          <w:szCs w:val="24"/>
        </w:rPr>
      </w:pPr>
    </w:p>
    <w:p w14:paraId="65BC8656" w14:textId="77777777" w:rsidR="00D21F29" w:rsidRPr="00597743" w:rsidRDefault="00D21F29" w:rsidP="00D21F29">
      <w:pPr>
        <w:rPr>
          <w:szCs w:val="24"/>
        </w:rPr>
      </w:pPr>
      <w:r w:rsidRPr="00597743">
        <w:rPr>
          <w:szCs w:val="24"/>
        </w:rPr>
        <w:t>Dear Secretary Graves:</w:t>
      </w:r>
    </w:p>
    <w:p w14:paraId="0C7A7400" w14:textId="77777777" w:rsidR="00D21F29" w:rsidRPr="00CE7212" w:rsidRDefault="00D21F29" w:rsidP="00D21F29">
      <w:pPr>
        <w:spacing w:before="0" w:after="0"/>
        <w:rPr>
          <w:rStyle w:val="ui-provider"/>
        </w:rPr>
      </w:pPr>
    </w:p>
    <w:p w14:paraId="13675A5B" w14:textId="658669EC" w:rsidR="00D21F29" w:rsidRPr="00597743" w:rsidRDefault="00D21F29" w:rsidP="00D21F29">
      <w:pPr>
        <w:rPr>
          <w:kern w:val="24"/>
        </w:rPr>
      </w:pPr>
      <w:r w:rsidRPr="00597743">
        <w:t xml:space="preserve">I am writing to advise you of the U.S. Department of Education’s (Department) 2024 determination under Sections 616 and 642 of the Individuals with Disabilities Education Act (IDEA). The Department has determined that South Dakota meets the requirements and purposes of Part C of the IDEA. This determination is based on the totality of </w:t>
      </w:r>
      <w:r w:rsidRPr="006264F6">
        <w:t>South Dakota's</w:t>
      </w:r>
      <w:r w:rsidRPr="00597743">
        <w:t xml:space="preserve"> data and information, including the Federal fiscal year (FFY) 202</w:t>
      </w:r>
      <w:r>
        <w:t>2</w:t>
      </w:r>
      <w:r w:rsidRPr="00597743">
        <w:t xml:space="preserve"> State Performance Plan/Annual Performance Report (SPP/APR), other State-reported data, and other publicly available information.</w:t>
      </w:r>
    </w:p>
    <w:p w14:paraId="559F9BD4" w14:textId="77777777" w:rsidR="00D21F29" w:rsidRPr="00CE7212" w:rsidRDefault="00D21F29" w:rsidP="00D21F29">
      <w:r w:rsidRPr="006264F6">
        <w:t>South Dakota's</w:t>
      </w:r>
      <w:r w:rsidRPr="00597743">
        <w:t xml:space="preserve"> 2024 determination is based on the data reflected in </w:t>
      </w:r>
      <w:r w:rsidRPr="006264F6">
        <w:t>South Dakota's</w:t>
      </w:r>
      <w:r w:rsidRPr="006264F6" w:rsidDel="006264F6">
        <w:t xml:space="preserve"> </w:t>
      </w:r>
      <w:r w:rsidRPr="00597743">
        <w:t xml:space="preserve">“2024 Part C Results-Driven Accountability Matrix” (RDA Matrix). </w:t>
      </w:r>
      <w:r w:rsidRPr="00CE7212">
        <w:t xml:space="preserve">The RDA Matrix is individualized for </w:t>
      </w:r>
      <w:r w:rsidRPr="00597743">
        <w:t>South Dakota</w:t>
      </w:r>
      <w:r w:rsidRPr="00CE7212">
        <w:t xml:space="preserve"> and consists of: </w:t>
      </w:r>
    </w:p>
    <w:p w14:paraId="6729F831" w14:textId="77777777" w:rsidR="00D21F29" w:rsidRPr="00CE7212" w:rsidRDefault="00D21F29" w:rsidP="00D21F29">
      <w:pPr>
        <w:numPr>
          <w:ilvl w:val="0"/>
          <w:numId w:val="21"/>
        </w:numPr>
        <w:spacing w:before="120" w:after="0"/>
        <w:rPr>
          <w:szCs w:val="24"/>
        </w:rPr>
      </w:pPr>
      <w:r w:rsidRPr="00CE7212">
        <w:rPr>
          <w:szCs w:val="24"/>
        </w:rPr>
        <w:t xml:space="preserve">a Compliance Matrix that includes scoring on Compliance Indicators and other compliance </w:t>
      </w:r>
      <w:proofErr w:type="gramStart"/>
      <w:r w:rsidRPr="00CE7212">
        <w:rPr>
          <w:szCs w:val="24"/>
        </w:rPr>
        <w:t>factors;</w:t>
      </w:r>
      <w:proofErr w:type="gramEnd"/>
    </w:p>
    <w:p w14:paraId="50236A62" w14:textId="1F6DE54B" w:rsidR="00D21F29" w:rsidRPr="00CE7212" w:rsidRDefault="003E1ADD" w:rsidP="00D21F29">
      <w:pPr>
        <w:numPr>
          <w:ilvl w:val="0"/>
          <w:numId w:val="21"/>
        </w:numPr>
        <w:spacing w:before="120" w:after="0"/>
        <w:rPr>
          <w:szCs w:val="24"/>
        </w:rPr>
      </w:pPr>
      <w:r>
        <w:rPr>
          <w:szCs w:val="24"/>
        </w:rPr>
        <w:t xml:space="preserve">a </w:t>
      </w:r>
      <w:r w:rsidR="00D21F29" w:rsidRPr="00CE7212">
        <w:rPr>
          <w:szCs w:val="24"/>
        </w:rPr>
        <w:t xml:space="preserve">Results </w:t>
      </w:r>
      <w:r>
        <w:rPr>
          <w:szCs w:val="24"/>
        </w:rPr>
        <w:t xml:space="preserve">Matrix (including </w:t>
      </w:r>
      <w:r w:rsidR="00D21F29" w:rsidRPr="00CE7212">
        <w:rPr>
          <w:szCs w:val="24"/>
        </w:rPr>
        <w:t>Components and Appendices</w:t>
      </w:r>
      <w:r>
        <w:rPr>
          <w:szCs w:val="24"/>
        </w:rPr>
        <w:t>)</w:t>
      </w:r>
      <w:r w:rsidR="00D21F29" w:rsidRPr="00CE7212">
        <w:rPr>
          <w:szCs w:val="24"/>
        </w:rPr>
        <w:t xml:space="preserve"> that include scoring on Results </w:t>
      </w:r>
      <w:proofErr w:type="gramStart"/>
      <w:r w:rsidR="00D21F29" w:rsidRPr="00CE7212">
        <w:rPr>
          <w:szCs w:val="24"/>
        </w:rPr>
        <w:t>Elements;</w:t>
      </w:r>
      <w:proofErr w:type="gramEnd"/>
    </w:p>
    <w:p w14:paraId="79B511BB" w14:textId="77777777" w:rsidR="00D21F29" w:rsidRPr="00CE7212" w:rsidRDefault="00D21F29" w:rsidP="00D21F29">
      <w:pPr>
        <w:numPr>
          <w:ilvl w:val="0"/>
          <w:numId w:val="21"/>
        </w:numPr>
        <w:spacing w:before="120" w:after="0"/>
        <w:rPr>
          <w:szCs w:val="24"/>
        </w:rPr>
      </w:pPr>
      <w:r w:rsidRPr="00CE7212">
        <w:rPr>
          <w:szCs w:val="24"/>
        </w:rPr>
        <w:t xml:space="preserve">a Compliance Score and a Results </w:t>
      </w:r>
      <w:proofErr w:type="gramStart"/>
      <w:r w:rsidRPr="00CE7212">
        <w:rPr>
          <w:szCs w:val="24"/>
        </w:rPr>
        <w:t>Score;</w:t>
      </w:r>
      <w:proofErr w:type="gramEnd"/>
    </w:p>
    <w:p w14:paraId="327634DC" w14:textId="77777777" w:rsidR="00D21F29" w:rsidRPr="00CE7212" w:rsidRDefault="00D21F29" w:rsidP="00D21F29">
      <w:pPr>
        <w:numPr>
          <w:ilvl w:val="0"/>
          <w:numId w:val="21"/>
        </w:numPr>
        <w:spacing w:before="120" w:after="0"/>
        <w:rPr>
          <w:szCs w:val="24"/>
        </w:rPr>
      </w:pPr>
      <w:r w:rsidRPr="00CE7212">
        <w:rPr>
          <w:szCs w:val="24"/>
        </w:rPr>
        <w:t>an RDA Percentage based on both the Compliance Score and the Results Score; and</w:t>
      </w:r>
    </w:p>
    <w:p w14:paraId="7BD6B48F" w14:textId="77777777" w:rsidR="00D21F29" w:rsidRPr="00CE7212" w:rsidRDefault="00D21F29" w:rsidP="00D21F29">
      <w:pPr>
        <w:numPr>
          <w:ilvl w:val="0"/>
          <w:numId w:val="21"/>
        </w:numPr>
        <w:spacing w:before="120" w:after="0"/>
        <w:rPr>
          <w:szCs w:val="24"/>
        </w:rPr>
      </w:pPr>
      <w:r w:rsidRPr="006264F6">
        <w:t>South Dakota's</w:t>
      </w:r>
      <w:r w:rsidRPr="00CE7212">
        <w:rPr>
          <w:szCs w:val="24"/>
        </w:rPr>
        <w:t xml:space="preserve"> Determination. </w:t>
      </w:r>
    </w:p>
    <w:p w14:paraId="76D9CD94" w14:textId="634EA04A" w:rsidR="00D21F29" w:rsidRPr="00597743" w:rsidRDefault="00D21F29" w:rsidP="00D21F29">
      <w:pPr>
        <w:rPr>
          <w:kern w:val="24"/>
        </w:rPr>
      </w:pPr>
      <w:r w:rsidRPr="00CE7212">
        <w:t>The RDA Matrix is further explained in a</w:t>
      </w:r>
      <w:r w:rsidRPr="00597743">
        <w:t xml:space="preserve"> document, entitled “</w:t>
      </w:r>
      <w:hyperlink r:id="rId15" w:history="1">
        <w:r w:rsidRPr="00CE7212">
          <w:rPr>
            <w:rStyle w:val="Hyperlink"/>
            <w:color w:val="auto"/>
          </w:rPr>
          <w:t>How the Department Made Determinations under Sections 616(d) and 642 of the Individuals with Disabilities Education Act in 2024: Part C</w:t>
        </w:r>
      </w:hyperlink>
      <w:r w:rsidRPr="00597743">
        <w:t>” (HTDMD</w:t>
      </w:r>
      <w:r w:rsidR="003E1ADD">
        <w:t>-C</w:t>
      </w:r>
      <w:r w:rsidRPr="00597743">
        <w:t>).</w:t>
      </w:r>
    </w:p>
    <w:p w14:paraId="1CB09BE2" w14:textId="45A9D667" w:rsidR="00D21F29" w:rsidRPr="00597743" w:rsidRDefault="00D21F29" w:rsidP="00D21F29">
      <w:r w:rsidRPr="00597743">
        <w:t>The Office of Special Education Programs (OSEP) is continuing to use both results data and compliance data in making the Department’s determinations in 2024, as it did for Part C determinations in 2015-2023. (The specifics of the determination procedures and criteria are set forth in the HTDMD</w:t>
      </w:r>
      <w:r w:rsidR="003E1ADD">
        <w:t>-C</w:t>
      </w:r>
      <w:r w:rsidRPr="00597743">
        <w:t xml:space="preserve"> document and reflected in the RDA Matrix for South Dakota.) For 2024, the Department’s IDEA Part C determinations continue to include consideration of each State’s Child Outcomes data, which measure how children who receive Part C services are improving functioning in three outcome areas that are critical to school readiness: </w:t>
      </w:r>
    </w:p>
    <w:p w14:paraId="3E58DCFB" w14:textId="77777777" w:rsidR="00D21F29" w:rsidRPr="00CE7212" w:rsidRDefault="00D21F29" w:rsidP="00D21F29">
      <w:pPr>
        <w:numPr>
          <w:ilvl w:val="0"/>
          <w:numId w:val="22"/>
        </w:numPr>
        <w:spacing w:before="120" w:after="0"/>
        <w:rPr>
          <w:szCs w:val="24"/>
        </w:rPr>
      </w:pPr>
      <w:r w:rsidRPr="00CE7212">
        <w:rPr>
          <w:szCs w:val="24"/>
        </w:rPr>
        <w:t xml:space="preserve">positive social-emotional </w:t>
      </w:r>
      <w:proofErr w:type="gramStart"/>
      <w:r w:rsidRPr="00CE7212">
        <w:rPr>
          <w:szCs w:val="24"/>
        </w:rPr>
        <w:t>skills;</w:t>
      </w:r>
      <w:proofErr w:type="gramEnd"/>
      <w:r w:rsidRPr="00CE7212">
        <w:rPr>
          <w:szCs w:val="24"/>
        </w:rPr>
        <w:t xml:space="preserve"> </w:t>
      </w:r>
    </w:p>
    <w:p w14:paraId="722265A4" w14:textId="77777777" w:rsidR="00D21F29" w:rsidRPr="00CE7212" w:rsidRDefault="00D21F29" w:rsidP="00D21F29">
      <w:pPr>
        <w:numPr>
          <w:ilvl w:val="0"/>
          <w:numId w:val="22"/>
        </w:numPr>
        <w:spacing w:before="120" w:after="0"/>
        <w:rPr>
          <w:spacing w:val="-2"/>
          <w:szCs w:val="24"/>
        </w:rPr>
      </w:pPr>
      <w:r w:rsidRPr="00CE7212">
        <w:rPr>
          <w:spacing w:val="-2"/>
          <w:szCs w:val="24"/>
        </w:rPr>
        <w:t xml:space="preserve">acquisition and use of knowledge and skills (including early language/communication); and </w:t>
      </w:r>
    </w:p>
    <w:p w14:paraId="2CA24A54" w14:textId="77777777" w:rsidR="00D21F29" w:rsidRPr="00597743" w:rsidRDefault="00D21F29" w:rsidP="00D21F29">
      <w:pPr>
        <w:numPr>
          <w:ilvl w:val="0"/>
          <w:numId w:val="22"/>
        </w:numPr>
        <w:spacing w:before="120" w:after="0"/>
        <w:rPr>
          <w:szCs w:val="24"/>
        </w:rPr>
      </w:pPr>
      <w:r w:rsidRPr="00CE7212">
        <w:rPr>
          <w:szCs w:val="24"/>
        </w:rPr>
        <w:t>use of appropriate behaviors to meet their needs</w:t>
      </w:r>
      <w:r w:rsidRPr="00597743">
        <w:rPr>
          <w:szCs w:val="24"/>
        </w:rPr>
        <w:t xml:space="preserve">. </w:t>
      </w:r>
    </w:p>
    <w:p w14:paraId="690A34D5" w14:textId="77777777" w:rsidR="00D21F29" w:rsidRPr="00597743" w:rsidRDefault="00D21F29" w:rsidP="00D21F29">
      <w:pPr>
        <w:rPr>
          <w:kern w:val="24"/>
        </w:rPr>
      </w:pPr>
      <w:r w:rsidRPr="00597743">
        <w:t xml:space="preserve">Specifically, the Department considered the data </w:t>
      </w:r>
      <w:proofErr w:type="gramStart"/>
      <w:r w:rsidRPr="00597743">
        <w:t>quality</w:t>
      </w:r>
      <w:proofErr w:type="gramEnd"/>
      <w:r w:rsidRPr="00597743">
        <w:t xml:space="preserve"> and the child performance levels in each State’s Child Outcomes FFY 202</w:t>
      </w:r>
      <w:r>
        <w:t>2</w:t>
      </w:r>
      <w:r w:rsidRPr="00597743">
        <w:rPr>
          <w:szCs w:val="24"/>
        </w:rPr>
        <w:t xml:space="preserve"> </w:t>
      </w:r>
      <w:r w:rsidRPr="00597743">
        <w:t>data</w:t>
      </w:r>
      <w:r w:rsidRPr="00CE7212">
        <w:t xml:space="preserve">. </w:t>
      </w:r>
    </w:p>
    <w:p w14:paraId="5638B0C1" w14:textId="77777777" w:rsidR="00D21F29" w:rsidRPr="00597743" w:rsidRDefault="00D21F29" w:rsidP="00D21F29">
      <w:pPr>
        <w:keepNext/>
        <w:rPr>
          <w:szCs w:val="24"/>
        </w:rPr>
      </w:pPr>
      <w:r w:rsidRPr="00597743">
        <w:rPr>
          <w:szCs w:val="24"/>
        </w:rPr>
        <w:t xml:space="preserve">You may access the results of OSEP’s review of </w:t>
      </w:r>
      <w:r w:rsidRPr="006264F6">
        <w:t>South Dakota's</w:t>
      </w:r>
      <w:r w:rsidRPr="00597743">
        <w:t xml:space="preserve"> </w:t>
      </w:r>
      <w:r w:rsidRPr="00597743">
        <w:rPr>
          <w:szCs w:val="24"/>
        </w:rPr>
        <w:t xml:space="preserve">SPP/APR and other relevant data by accessing the EMAPS SPP/APR reporting tool using your State-specific log-on information at </w:t>
      </w:r>
      <w:hyperlink r:id="rId16" w:tooltip="EMAPS SPP/APR reporting tool" w:history="1">
        <w:r w:rsidRPr="00CE7212">
          <w:rPr>
            <w:rStyle w:val="Hyperlink"/>
            <w:color w:val="auto"/>
            <w:szCs w:val="24"/>
          </w:rPr>
          <w:t>https://emaps.ed.gov/suite/</w:t>
        </w:r>
      </w:hyperlink>
      <w:r w:rsidRPr="00597743">
        <w:rPr>
          <w:szCs w:val="24"/>
        </w:rPr>
        <w:t xml:space="preserve">. When you access </w:t>
      </w:r>
      <w:r w:rsidRPr="006264F6">
        <w:t>South Dakota's</w:t>
      </w:r>
      <w:r w:rsidRPr="00597743">
        <w:rPr>
          <w:szCs w:val="24"/>
        </w:rPr>
        <w:t xml:space="preserve"> SPP/APR on the site, you will find, in Indicators 1 through 11, the OSEP Response to the indicator and any actions that </w:t>
      </w:r>
      <w:r w:rsidRPr="00597743">
        <w:t>South Dakota</w:t>
      </w:r>
      <w:r w:rsidRPr="00597743">
        <w:rPr>
          <w:szCs w:val="24"/>
        </w:rPr>
        <w:t xml:space="preserve"> is required to take. The actions that </w:t>
      </w:r>
      <w:r w:rsidRPr="00597743">
        <w:t>South Dakota</w:t>
      </w:r>
      <w:r w:rsidRPr="00597743">
        <w:rPr>
          <w:szCs w:val="24"/>
        </w:rPr>
        <w:t xml:space="preserve"> is required to take are in the “Required Actions” section of the indicator.</w:t>
      </w:r>
    </w:p>
    <w:p w14:paraId="57E1CDDA" w14:textId="2CFFBC6D" w:rsidR="00D21F29" w:rsidRPr="00597743" w:rsidRDefault="00D21F29" w:rsidP="00D21F29">
      <w:pPr>
        <w:rPr>
          <w:szCs w:val="24"/>
        </w:rPr>
      </w:pPr>
      <w:r w:rsidRPr="00597743">
        <w:rPr>
          <w:szCs w:val="24"/>
        </w:rPr>
        <w:t>It is important for you</w:t>
      </w:r>
      <w:r w:rsidR="003E1ADD">
        <w:rPr>
          <w:szCs w:val="24"/>
        </w:rPr>
        <w:t>r State</w:t>
      </w:r>
      <w:r w:rsidRPr="00597743">
        <w:rPr>
          <w:szCs w:val="24"/>
        </w:rPr>
        <w:t xml:space="preserve"> to review the Introduction to the SPP/APR, which may also include language in the “OSEP Response” and/or “Required Actions” sections. </w:t>
      </w:r>
    </w:p>
    <w:p w14:paraId="0CA31A10" w14:textId="762AAB06" w:rsidR="00D21F29" w:rsidRPr="00597743" w:rsidRDefault="00D21F29" w:rsidP="00D21F29">
      <w:pPr>
        <w:keepNext/>
        <w:rPr>
          <w:szCs w:val="24"/>
        </w:rPr>
      </w:pPr>
      <w:r w:rsidRPr="00597743">
        <w:rPr>
          <w:szCs w:val="24"/>
        </w:rPr>
        <w:t>You</w:t>
      </w:r>
      <w:r w:rsidR="003E1ADD">
        <w:rPr>
          <w:szCs w:val="24"/>
        </w:rPr>
        <w:t>r State</w:t>
      </w:r>
      <w:r w:rsidRPr="00597743">
        <w:rPr>
          <w:szCs w:val="24"/>
        </w:rPr>
        <w:t xml:space="preserve"> will also find the following important documents </w:t>
      </w:r>
      <w:r w:rsidR="002A743C">
        <w:rPr>
          <w:szCs w:val="24"/>
        </w:rPr>
        <w:t>in the Determinations Enclosures section</w:t>
      </w:r>
      <w:r w:rsidRPr="00597743">
        <w:rPr>
          <w:szCs w:val="24"/>
        </w:rPr>
        <w:t xml:space="preserve">: </w:t>
      </w:r>
    </w:p>
    <w:p w14:paraId="682B8092" w14:textId="77777777" w:rsidR="00D21F29" w:rsidRPr="00597743" w:rsidRDefault="00D21F29" w:rsidP="00D21F29">
      <w:pPr>
        <w:keepNext/>
        <w:numPr>
          <w:ilvl w:val="0"/>
          <w:numId w:val="23"/>
        </w:numPr>
        <w:spacing w:before="120" w:after="0"/>
        <w:rPr>
          <w:szCs w:val="24"/>
        </w:rPr>
      </w:pPr>
      <w:r w:rsidRPr="006264F6">
        <w:t>South Dakota's</w:t>
      </w:r>
      <w:r>
        <w:t xml:space="preserve"> </w:t>
      </w:r>
      <w:r w:rsidRPr="00597743">
        <w:rPr>
          <w:szCs w:val="24"/>
        </w:rPr>
        <w:t xml:space="preserve">RDA </w:t>
      </w:r>
      <w:proofErr w:type="gramStart"/>
      <w:r w:rsidRPr="00597743">
        <w:rPr>
          <w:szCs w:val="24"/>
        </w:rPr>
        <w:t>Matrix;</w:t>
      </w:r>
      <w:proofErr w:type="gramEnd"/>
      <w:r w:rsidRPr="00597743">
        <w:rPr>
          <w:szCs w:val="24"/>
        </w:rPr>
        <w:t xml:space="preserve"> </w:t>
      </w:r>
    </w:p>
    <w:p w14:paraId="67F05A0C" w14:textId="5DF007C7" w:rsidR="00D21F29" w:rsidRPr="00597743" w:rsidRDefault="00D21F29" w:rsidP="00D21F29">
      <w:pPr>
        <w:numPr>
          <w:ilvl w:val="0"/>
          <w:numId w:val="23"/>
        </w:numPr>
        <w:spacing w:before="120" w:after="0"/>
        <w:rPr>
          <w:szCs w:val="24"/>
        </w:rPr>
      </w:pPr>
      <w:r w:rsidRPr="00597743">
        <w:rPr>
          <w:szCs w:val="24"/>
        </w:rPr>
        <w:t xml:space="preserve">the HTDMD </w:t>
      </w:r>
      <w:hyperlink r:id="rId17" w:history="1">
        <w:r w:rsidR="002A743C" w:rsidRPr="00CC748C">
          <w:rPr>
            <w:rStyle w:val="Hyperlink"/>
            <w:szCs w:val="24"/>
          </w:rPr>
          <w:t>link</w:t>
        </w:r>
      </w:hyperlink>
      <w:r w:rsidRPr="00597743">
        <w:rPr>
          <w:szCs w:val="24"/>
        </w:rPr>
        <w:t xml:space="preserve">; </w:t>
      </w:r>
    </w:p>
    <w:p w14:paraId="0ABB659D" w14:textId="5C674E35" w:rsidR="00D21F29" w:rsidRPr="00597743" w:rsidRDefault="00D21F29" w:rsidP="00D21F29">
      <w:pPr>
        <w:numPr>
          <w:ilvl w:val="0"/>
          <w:numId w:val="23"/>
        </w:numPr>
        <w:spacing w:before="120" w:after="0"/>
        <w:rPr>
          <w:kern w:val="24"/>
        </w:rPr>
      </w:pPr>
      <w:r w:rsidRPr="00597743">
        <w:t>“2024</w:t>
      </w:r>
      <w:r w:rsidRPr="00597743">
        <w:rPr>
          <w:szCs w:val="24"/>
        </w:rPr>
        <w:t xml:space="preserve"> </w:t>
      </w:r>
      <w:r w:rsidRPr="00597743">
        <w:t>Data Rubric Part C,” which shows how OSEP calculated the State’s</w:t>
      </w:r>
      <w:r w:rsidRPr="00597743">
        <w:rPr>
          <w:szCs w:val="24"/>
        </w:rPr>
        <w:t xml:space="preserve"> </w:t>
      </w:r>
      <w:r w:rsidRPr="00597743">
        <w:t>“Timely and Accurate State-Reported Data</w:t>
      </w:r>
      <w:r w:rsidRPr="00597743">
        <w:rPr>
          <w:szCs w:val="24"/>
        </w:rPr>
        <w:t>”</w:t>
      </w:r>
      <w:r w:rsidRPr="00597743">
        <w:t xml:space="preserve"> score in the Compliance Matrix; and</w:t>
      </w:r>
    </w:p>
    <w:p w14:paraId="5235F70D" w14:textId="02303D32" w:rsidR="00D21F29" w:rsidRPr="00597743" w:rsidRDefault="00D21F29" w:rsidP="00D21F29">
      <w:pPr>
        <w:numPr>
          <w:ilvl w:val="0"/>
          <w:numId w:val="23"/>
        </w:numPr>
        <w:spacing w:before="120" w:after="0"/>
        <w:rPr>
          <w:szCs w:val="24"/>
        </w:rPr>
      </w:pPr>
      <w:r w:rsidRPr="00597743">
        <w:rPr>
          <w:szCs w:val="24"/>
        </w:rPr>
        <w:t xml:space="preserve">“Dispute Resolution 2022-2023,” which includes the IDEA Section 618 data that OSEP used to calculate the State’s “Timely State Complaint Decisions” and “Timely Due Process Hearing Decisions” scores in the Compliance Matrix. </w:t>
      </w:r>
    </w:p>
    <w:p w14:paraId="4D22E0E4" w14:textId="77777777" w:rsidR="00D21F29" w:rsidRPr="00597743" w:rsidRDefault="00D21F29" w:rsidP="00D21F29">
      <w:r w:rsidRPr="00CE7212">
        <w:t xml:space="preserve">As noted above, </w:t>
      </w:r>
      <w:r w:rsidRPr="006264F6">
        <w:t>South Dakota's</w:t>
      </w:r>
      <w:r w:rsidRPr="00CE7212">
        <w:t xml:space="preserve"> 2024 determination is Meets Requirements. A State’s 2024 RDA Determination is Meets Requirements if the RDA Percentage is at least 80%, unless the Department </w:t>
      </w:r>
      <w:r w:rsidRPr="00597743">
        <w:t>has imposed Specific Conditions on the State’s last three</w:t>
      </w:r>
      <w:r w:rsidRPr="00597743">
        <w:rPr>
          <w:szCs w:val="24"/>
        </w:rPr>
        <w:t xml:space="preserve"> </w:t>
      </w:r>
      <w:r w:rsidRPr="00597743">
        <w:t>IDEA Part C grant awards (for FFYs 2021</w:t>
      </w:r>
      <w:r w:rsidRPr="00597743">
        <w:rPr>
          <w:szCs w:val="24"/>
        </w:rPr>
        <w:t xml:space="preserve">, </w:t>
      </w:r>
      <w:r w:rsidRPr="00597743">
        <w:t>2022</w:t>
      </w:r>
      <w:r w:rsidRPr="00597743">
        <w:rPr>
          <w:szCs w:val="24"/>
        </w:rPr>
        <w:t xml:space="preserve">, </w:t>
      </w:r>
      <w:r w:rsidRPr="00597743">
        <w:t>and 2023</w:t>
      </w:r>
      <w:r w:rsidRPr="00597743">
        <w:rPr>
          <w:szCs w:val="24"/>
        </w:rPr>
        <w:t>)</w:t>
      </w:r>
      <w:r w:rsidRPr="00597743">
        <w:t>, and those Specific Conditions are in effect at the time of the 2024</w:t>
      </w:r>
      <w:r w:rsidRPr="00597743">
        <w:rPr>
          <w:szCs w:val="24"/>
        </w:rPr>
        <w:t xml:space="preserve"> </w:t>
      </w:r>
      <w:r w:rsidRPr="00597743">
        <w:t>determination.</w:t>
      </w:r>
    </w:p>
    <w:p w14:paraId="3509C7F7" w14:textId="77777777" w:rsidR="00890FCA" w:rsidRDefault="00890FCA" w:rsidP="00890FCA">
      <w:r w:rsidRPr="00597743">
        <w:lastRenderedPageBreak/>
        <w:t>IDEA determinations provide an opportunity for all stakeholders to examine State data as that data relate to improving outcomes for infants, toddlers, children, and youth with disabilities. The Department encourages stakeholders to review State SPP/APR data and other available data as part of the focus on improving equitable outcomes for infants, toddlers, children, and youth with disabilities. Key areas the Department encourages State and local personnel to review are access to high-quality intervention and instruction; effective implementation of individualized family service plans (IFSPs) and individualized education programs (IEPs), using data to drive decision-making, supporting strong relationship building with families, and actively addressing educator and other personnel shortages.</w:t>
      </w:r>
    </w:p>
    <w:p w14:paraId="53490FB1" w14:textId="77777777" w:rsidR="00890FCA" w:rsidRDefault="00890FCA" w:rsidP="00890FCA">
      <w:r w:rsidRPr="00597743">
        <w:t xml:space="preserve">For 2025 and beyond, the Department is considering two additional criteria related to IDEA Part C determinations. First, the Department is considering as a factor OSEP-identified longstanding noncompliance (i.e., unresolved findings issued by OSEP at least three years ago). This factor would be reflected in the determination for each State through the “longstanding noncompliance” section of the Compliance Matrix beginning with the 2025 determinations. In implementing this factor, the Department is also considering beginning in 2025 whether a State that would otherwise receive a score of meets requirements would not be able to receive a determination of meets requirements if the State had OSEP-identified longstanding noncompliance (i.e., unresolved findings issued by OSEP at least three or more years ago). Second, the Department is reviewing whether and how to consider IDEA Part C results data reported under three indicators </w:t>
      </w:r>
      <w:proofErr w:type="gramStart"/>
      <w:r w:rsidRPr="00597743">
        <w:t>in order to</w:t>
      </w:r>
      <w:proofErr w:type="gramEnd"/>
      <w:r w:rsidRPr="00597743">
        <w:t xml:space="preserve"> improve results for all infants, toddlers, and children with disabilities. This review would include considering alternative scoring options for child outcome Indicator C-3 and considering as potential additional factors the information and data that States report under child find Indicators C-5 and C-6.</w:t>
      </w:r>
    </w:p>
    <w:p w14:paraId="34EBE5A6" w14:textId="77777777" w:rsidR="00890FCA" w:rsidRDefault="00890FCA" w:rsidP="00890FCA">
      <w:r w:rsidRPr="00597743">
        <w:t xml:space="preserve">For the FFY 2023 SPP/APR submission due on February 1, 2025, OSEP is providing the following information about the IDEA Section 618 data.  The 2023-24 IDEA Section 618 Part C data submitted as of the due date will be used for the FFY 2023 SPP/APR and the 2025 IDEA Part C Results Matrix and States will not be able to resubmit their IDEA Section 618 data after the due date. The 2023-24 IDEA Section 618 Part C data that States submit will automatically be prepopulated in the SPP/APR reporting platform for Part C SPP/APR Indicators 2, 5, 6, 9, and 10 (as they have in the past). Under EDFacts Modernization, States are expected to submit high-quality IDEA Section 618 Part C data that can be published and used by the Department as of the due date. States are expected to conduct data quality reviews prior to the applicable due date. OSEP expects States to take one of the following actions for all business rules that are triggered in the appropriate EDFacts system prior to the applicable due date:  1) revise the uploaded data to address the edit; or 2) provide a data note addressing why the data submission triggered the business rule. There will not be a resubmission period for the IDEA Section 618 Part C data. </w:t>
      </w:r>
    </w:p>
    <w:p w14:paraId="0109DD64" w14:textId="77777777" w:rsidR="00D21F29" w:rsidRPr="00597743" w:rsidRDefault="00D21F29" w:rsidP="00D21F29">
      <w:r w:rsidRPr="00597743">
        <w:t xml:space="preserve">As a reminder, South Dakota must report annually to the public, by posting on the State lead agency’s website, on the performance of each early intervention service (EIS) program located in South Dakota on the targets in the SPP/APR as soon as practicable, but no later than 120 days after </w:t>
      </w:r>
      <w:r w:rsidRPr="0061436B">
        <w:t>South Dakota's</w:t>
      </w:r>
      <w:r w:rsidRPr="00597743">
        <w:t xml:space="preserve"> submission of its FFY 202</w:t>
      </w:r>
      <w:r>
        <w:t>2</w:t>
      </w:r>
      <w:r w:rsidRPr="00597743">
        <w:rPr>
          <w:szCs w:val="24"/>
        </w:rPr>
        <w:t xml:space="preserve"> </w:t>
      </w:r>
      <w:r w:rsidRPr="00597743">
        <w:t>SPP/APR.</w:t>
      </w:r>
      <w:r w:rsidRPr="00597743">
        <w:rPr>
          <w:szCs w:val="24"/>
        </w:rPr>
        <w:t xml:space="preserve"> </w:t>
      </w:r>
      <w:r w:rsidRPr="00597743">
        <w:t>In addition, South Dakota</w:t>
      </w:r>
      <w:r w:rsidRPr="00597743">
        <w:rPr>
          <w:szCs w:val="24"/>
        </w:rPr>
        <w:t xml:space="preserve"> must:</w:t>
      </w:r>
    </w:p>
    <w:p w14:paraId="727EF73A" w14:textId="77777777" w:rsidR="00D21F29" w:rsidRPr="00597743" w:rsidRDefault="00D21F29" w:rsidP="00D21F29">
      <w:pPr>
        <w:numPr>
          <w:ilvl w:val="0"/>
          <w:numId w:val="26"/>
        </w:numPr>
        <w:spacing w:before="120" w:after="0"/>
        <w:rPr>
          <w:szCs w:val="24"/>
        </w:rPr>
      </w:pPr>
      <w:r w:rsidRPr="00597743">
        <w:rPr>
          <w:szCs w:val="24"/>
        </w:rPr>
        <w:t xml:space="preserve">review EIS program performance against targets in </w:t>
      </w:r>
      <w:r w:rsidRPr="0061436B">
        <w:t>South Dakota's</w:t>
      </w:r>
      <w:r>
        <w:t xml:space="preserve"> </w:t>
      </w:r>
      <w:r w:rsidRPr="00597743">
        <w:rPr>
          <w:szCs w:val="24"/>
        </w:rPr>
        <w:t>SPP/</w:t>
      </w:r>
      <w:proofErr w:type="gramStart"/>
      <w:r w:rsidRPr="00597743">
        <w:rPr>
          <w:szCs w:val="24"/>
        </w:rPr>
        <w:t>APR;</w:t>
      </w:r>
      <w:proofErr w:type="gramEnd"/>
      <w:r w:rsidRPr="00597743">
        <w:rPr>
          <w:szCs w:val="24"/>
        </w:rPr>
        <w:t xml:space="preserve"> </w:t>
      </w:r>
    </w:p>
    <w:p w14:paraId="0BDF6B3A" w14:textId="77777777" w:rsidR="00D21F29" w:rsidRPr="00597743" w:rsidRDefault="00D21F29" w:rsidP="00D21F29">
      <w:pPr>
        <w:numPr>
          <w:ilvl w:val="0"/>
          <w:numId w:val="26"/>
        </w:numPr>
        <w:spacing w:before="120" w:after="0"/>
        <w:rPr>
          <w:szCs w:val="24"/>
        </w:rPr>
      </w:pPr>
      <w:r w:rsidRPr="00597743">
        <w:rPr>
          <w:szCs w:val="24"/>
        </w:rPr>
        <w:t xml:space="preserve">determine if each EIS program “meets the requirements” of Part C, or “needs assistance,” “needs intervention,” or “needs substantial intervention” in implementing Part C of the </w:t>
      </w:r>
      <w:proofErr w:type="gramStart"/>
      <w:r w:rsidRPr="00597743">
        <w:rPr>
          <w:szCs w:val="24"/>
        </w:rPr>
        <w:t>IDEA;</w:t>
      </w:r>
      <w:proofErr w:type="gramEnd"/>
      <w:r w:rsidRPr="00597743">
        <w:rPr>
          <w:szCs w:val="24"/>
        </w:rPr>
        <w:t xml:space="preserve"> </w:t>
      </w:r>
    </w:p>
    <w:p w14:paraId="15215887" w14:textId="77777777" w:rsidR="00D21F29" w:rsidRPr="00597743" w:rsidRDefault="00D21F29" w:rsidP="00D21F29">
      <w:pPr>
        <w:numPr>
          <w:ilvl w:val="0"/>
          <w:numId w:val="26"/>
        </w:numPr>
        <w:spacing w:before="120" w:after="0"/>
        <w:rPr>
          <w:szCs w:val="24"/>
        </w:rPr>
      </w:pPr>
      <w:r w:rsidRPr="00597743">
        <w:rPr>
          <w:szCs w:val="24"/>
        </w:rPr>
        <w:t xml:space="preserve">take appropriate enforcement action; and </w:t>
      </w:r>
    </w:p>
    <w:p w14:paraId="3B4DFF52" w14:textId="77777777" w:rsidR="00D21F29" w:rsidRPr="00597743" w:rsidRDefault="00D21F29" w:rsidP="00D21F29">
      <w:pPr>
        <w:numPr>
          <w:ilvl w:val="0"/>
          <w:numId w:val="26"/>
        </w:numPr>
        <w:spacing w:before="120" w:after="0"/>
        <w:rPr>
          <w:szCs w:val="24"/>
        </w:rPr>
      </w:pPr>
      <w:r w:rsidRPr="00597743">
        <w:rPr>
          <w:szCs w:val="24"/>
        </w:rPr>
        <w:t xml:space="preserve">inform each EIS program of its determination. </w:t>
      </w:r>
    </w:p>
    <w:p w14:paraId="3A48C32F" w14:textId="77777777" w:rsidR="00D21F29" w:rsidRPr="00597743" w:rsidRDefault="00D21F29" w:rsidP="00D21F29">
      <w:pPr>
        <w:keepNext/>
        <w:rPr>
          <w:szCs w:val="24"/>
        </w:rPr>
      </w:pPr>
      <w:r w:rsidRPr="00597743">
        <w:rPr>
          <w:szCs w:val="24"/>
        </w:rPr>
        <w:t xml:space="preserve">Further, </w:t>
      </w:r>
      <w:r w:rsidRPr="00597743">
        <w:t>South Dakota</w:t>
      </w:r>
      <w:r w:rsidRPr="00597743">
        <w:rPr>
          <w:szCs w:val="24"/>
        </w:rPr>
        <w:t xml:space="preserve"> must make its SPP/APR available to the public by posting it on the State lead agency’s website. Within the upcoming weeks, OSEP will be finalizing a State Profile that:</w:t>
      </w:r>
    </w:p>
    <w:p w14:paraId="1474A61D" w14:textId="77777777" w:rsidR="00D21F29" w:rsidRPr="00597743" w:rsidRDefault="00D21F29" w:rsidP="00D21F29">
      <w:pPr>
        <w:numPr>
          <w:ilvl w:val="0"/>
          <w:numId w:val="27"/>
        </w:numPr>
        <w:spacing w:before="120" w:after="0"/>
        <w:rPr>
          <w:kern w:val="24"/>
          <w:szCs w:val="24"/>
        </w:rPr>
      </w:pPr>
      <w:r w:rsidRPr="00597743">
        <w:rPr>
          <w:szCs w:val="24"/>
        </w:rPr>
        <w:t xml:space="preserve">includes </w:t>
      </w:r>
      <w:r w:rsidRPr="0061436B">
        <w:t>South Dakota's</w:t>
      </w:r>
      <w:r w:rsidRPr="00597743">
        <w:rPr>
          <w:szCs w:val="24"/>
        </w:rPr>
        <w:t xml:space="preserve"> determination letter and SPP/APR, OSEP attachments, and all State attachments that are accessible in accordance with Section 508 of the Rehabilitation Act of 1973; and </w:t>
      </w:r>
    </w:p>
    <w:p w14:paraId="5A155750" w14:textId="77777777" w:rsidR="00D21F29" w:rsidRPr="00597743" w:rsidRDefault="00D21F29" w:rsidP="00D21F29">
      <w:pPr>
        <w:numPr>
          <w:ilvl w:val="0"/>
          <w:numId w:val="27"/>
        </w:numPr>
        <w:spacing w:before="120" w:after="0"/>
        <w:rPr>
          <w:szCs w:val="24"/>
        </w:rPr>
      </w:pPr>
      <w:r w:rsidRPr="00597743">
        <w:rPr>
          <w:szCs w:val="24"/>
        </w:rPr>
        <w:t>will be accessible to the public via the ed.gov website.</w:t>
      </w:r>
    </w:p>
    <w:p w14:paraId="7FC37B6A" w14:textId="77777777" w:rsidR="00D21F29" w:rsidRPr="00597743" w:rsidRDefault="00D21F29" w:rsidP="00D21F29">
      <w:pPr>
        <w:rPr>
          <w:szCs w:val="24"/>
        </w:rPr>
      </w:pPr>
      <w:r w:rsidRPr="00597743">
        <w:rPr>
          <w:szCs w:val="24"/>
        </w:rPr>
        <w:t xml:space="preserve">OSEP appreciates </w:t>
      </w:r>
      <w:r w:rsidRPr="0061436B">
        <w:t>South Dakota's</w:t>
      </w:r>
      <w:r>
        <w:t xml:space="preserve"> </w:t>
      </w:r>
      <w:r w:rsidRPr="00597743">
        <w:rPr>
          <w:szCs w:val="24"/>
        </w:rPr>
        <w:t xml:space="preserve">efforts to improve results for infants and toddlers with disabilities and their families and looks forward to working with </w:t>
      </w:r>
      <w:r w:rsidRPr="00597743">
        <w:t>South Dakota</w:t>
      </w:r>
      <w:r w:rsidRPr="00597743">
        <w:rPr>
          <w:szCs w:val="24"/>
        </w:rPr>
        <w:t xml:space="preserve"> over the next year as we continue our important work of improving the lives of children with disabilities and their families. Please contact your OSEP State Lead if you have any questions, would like to discuss this further, or want to request technical assistance.</w:t>
      </w:r>
    </w:p>
    <w:p w14:paraId="09628C2B" w14:textId="77777777" w:rsidR="00D21F29" w:rsidRPr="00597743" w:rsidRDefault="00D21F29" w:rsidP="00D21F29">
      <w:pPr>
        <w:keepNext/>
        <w:ind w:left="4680"/>
        <w:rPr>
          <w:szCs w:val="24"/>
        </w:rPr>
      </w:pPr>
      <w:r w:rsidRPr="00597743">
        <w:rPr>
          <w:szCs w:val="24"/>
        </w:rPr>
        <w:t>Sincerely,</w:t>
      </w:r>
    </w:p>
    <w:p w14:paraId="24A80E70" w14:textId="6FA44521" w:rsidR="00D21F29" w:rsidRPr="00597743" w:rsidRDefault="00D21F29" w:rsidP="00D21F29">
      <w:pPr>
        <w:keepNext/>
        <w:spacing w:before="480"/>
        <w:ind w:left="4680"/>
        <w:rPr>
          <w:szCs w:val="24"/>
        </w:rPr>
      </w:pPr>
      <w:r>
        <w:rPr>
          <w:noProof/>
        </w:rPr>
        <w:drawing>
          <wp:inline distT="0" distB="0" distL="0" distR="0" wp14:anchorId="1CCBDA80" wp14:editId="5F1331A7">
            <wp:extent cx="1922513" cy="344685"/>
            <wp:effectExtent l="0" t="0" r="1905" b="0"/>
            <wp:docPr id="748777230" name="Picture 748777230"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77230" name="Picture 748777230" descr="A close up of a text  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0467" b="21119"/>
                    <a:stretch/>
                  </pic:blipFill>
                  <pic:spPr bwMode="auto">
                    <a:xfrm>
                      <a:off x="0" y="0"/>
                      <a:ext cx="1924050" cy="344960"/>
                    </a:xfrm>
                    <a:prstGeom prst="rect">
                      <a:avLst/>
                    </a:prstGeom>
                    <a:noFill/>
                    <a:ln>
                      <a:noFill/>
                    </a:ln>
                    <a:extLst>
                      <a:ext uri="{53640926-AAD7-44D8-BBD7-CCE9431645EC}">
                        <a14:shadowObscured xmlns:a14="http://schemas.microsoft.com/office/drawing/2010/main"/>
                      </a:ext>
                    </a:extLst>
                  </pic:spPr>
                </pic:pic>
              </a:graphicData>
            </a:graphic>
          </wp:inline>
        </w:drawing>
      </w:r>
    </w:p>
    <w:p w14:paraId="5E3E96BB" w14:textId="77777777" w:rsidR="00D21F29" w:rsidRPr="00597743" w:rsidRDefault="00D21F29" w:rsidP="00D21F29">
      <w:pPr>
        <w:keepNext/>
        <w:pBdr>
          <w:top w:val="single" w:sz="8" w:space="1" w:color="7F7F7F" w:themeColor="text1" w:themeTint="80"/>
        </w:pBdr>
        <w:spacing w:before="0"/>
        <w:ind w:left="4680"/>
        <w:rPr>
          <w:szCs w:val="24"/>
        </w:rPr>
      </w:pPr>
      <w:r w:rsidRPr="00597743">
        <w:rPr>
          <w:szCs w:val="24"/>
        </w:rPr>
        <w:t xml:space="preserve">Valerie </w:t>
      </w:r>
      <w:r>
        <w:rPr>
          <w:szCs w:val="24"/>
        </w:rPr>
        <w:t xml:space="preserve">C. </w:t>
      </w:r>
      <w:r w:rsidRPr="00597743">
        <w:rPr>
          <w:szCs w:val="24"/>
        </w:rPr>
        <w:t>Williams</w:t>
      </w:r>
    </w:p>
    <w:p w14:paraId="22297F0B" w14:textId="77777777" w:rsidR="00D21F29" w:rsidRPr="00597743" w:rsidRDefault="00D21F29" w:rsidP="00D21F29">
      <w:pPr>
        <w:keepNext/>
        <w:spacing w:before="0"/>
        <w:ind w:left="4680"/>
        <w:rPr>
          <w:szCs w:val="24"/>
        </w:rPr>
      </w:pPr>
      <w:r w:rsidRPr="00597743">
        <w:rPr>
          <w:szCs w:val="24"/>
        </w:rPr>
        <w:t>Director</w:t>
      </w:r>
    </w:p>
    <w:p w14:paraId="2CFB8D2F" w14:textId="77777777" w:rsidR="00D21F29" w:rsidRPr="00597743" w:rsidRDefault="00D21F29" w:rsidP="00D21F29">
      <w:pPr>
        <w:spacing w:before="0"/>
        <w:ind w:left="4680"/>
        <w:rPr>
          <w:szCs w:val="24"/>
        </w:rPr>
      </w:pPr>
      <w:r w:rsidRPr="00597743">
        <w:rPr>
          <w:szCs w:val="24"/>
        </w:rPr>
        <w:t>Office of Special Education Programs</w:t>
      </w:r>
    </w:p>
    <w:p w14:paraId="7BF703CD" w14:textId="209D89A1" w:rsidR="00D21F29" w:rsidRPr="00D21F29" w:rsidRDefault="00D21F29" w:rsidP="00D21F29">
      <w:pPr>
        <w:rPr>
          <w:szCs w:val="24"/>
        </w:rPr>
      </w:pPr>
      <w:r w:rsidRPr="00597743">
        <w:rPr>
          <w:szCs w:val="24"/>
        </w:rPr>
        <w:t>cc: State Part C Coordinator</w:t>
      </w:r>
    </w:p>
    <w:sectPr w:rsidR="00D21F29" w:rsidRPr="00D21F29" w:rsidSect="00BF3AB4">
      <w:headerReference w:type="default" r:id="rId19"/>
      <w:footerReference w:type="default" r:id="rId20"/>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9D05" w14:textId="77777777" w:rsidR="00C4141E" w:rsidRDefault="00C4141E" w:rsidP="000802F7">
      <w:pPr>
        <w:spacing w:before="0" w:after="0"/>
      </w:pPr>
      <w:r>
        <w:separator/>
      </w:r>
    </w:p>
  </w:endnote>
  <w:endnote w:type="continuationSeparator" w:id="0">
    <w:p w14:paraId="4F7D6ADD" w14:textId="77777777" w:rsidR="00C4141E" w:rsidRDefault="00C4141E" w:rsidP="000802F7">
      <w:pPr>
        <w:spacing w:before="0" w:after="0"/>
      </w:pPr>
      <w:r>
        <w:continuationSeparator/>
      </w:r>
    </w:p>
  </w:endnote>
  <w:endnote w:type="continuationNotice" w:id="1">
    <w:p w14:paraId="67290E72" w14:textId="77777777" w:rsidR="00C4141E" w:rsidRDefault="00C414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4CA97A5F"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t>56</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2622"/>
      <w:docPartObj>
        <w:docPartGallery w:val="Page Numbers (Bottom of Page)"/>
        <w:docPartUnique/>
      </w:docPartObj>
    </w:sdtPr>
    <w:sdtEndPr>
      <w:rPr>
        <w:noProof/>
      </w:rPr>
    </w:sdtEndPr>
    <w:sdtContent>
      <w:sdt>
        <w:sdtPr>
          <w:id w:val="-54480244"/>
          <w:docPartObj>
            <w:docPartGallery w:val="Page Numbers (Bottom of Page)"/>
            <w:docPartUnique/>
          </w:docPartObj>
        </w:sdtPr>
        <w:sdtEndPr>
          <w:rPr>
            <w:noProof/>
          </w:rPr>
        </w:sdtEndPr>
        <w:sdtContent>
          <w:p w14:paraId="5ACDECAF" w14:textId="77777777" w:rsidR="00D21F29" w:rsidRPr="00E52257" w:rsidRDefault="00D21F29" w:rsidP="00D21F29">
            <w:pPr>
              <w:jc w:val="center"/>
              <w:rPr>
                <w:color w:val="17365D"/>
                <w:sz w:val="18"/>
              </w:rPr>
            </w:pPr>
            <w:r>
              <w:ptab w:relativeTo="margin" w:alignment="left" w:leader="none"/>
            </w:r>
            <w:r>
              <w:ptab w:relativeTo="margin" w:alignment="left" w:leader="none"/>
            </w:r>
            <w:r w:rsidRPr="00E52257">
              <w:rPr>
                <w:color w:val="17365D"/>
                <w:sz w:val="18"/>
              </w:rPr>
              <w:t>400 MARYLAND AVE. S.W., WASHINGTON DC 20202-2600</w:t>
            </w:r>
          </w:p>
          <w:p w14:paraId="28FDDCE7" w14:textId="77777777" w:rsidR="00D21F29" w:rsidRPr="00021B5A" w:rsidRDefault="00D21F29" w:rsidP="00D21F29">
            <w:pPr>
              <w:spacing w:before="40"/>
              <w:jc w:val="center"/>
              <w:rPr>
                <w:rStyle w:val="Hyperlink"/>
                <w:color w:val="17365D"/>
                <w:sz w:val="18"/>
              </w:rPr>
            </w:pPr>
            <w:r w:rsidRPr="00021B5A">
              <w:rPr>
                <w:color w:val="17365D"/>
                <w:sz w:val="18"/>
              </w:rPr>
              <w:fldChar w:fldCharType="begin"/>
            </w:r>
            <w:r>
              <w:instrText xml:space="preserve"> HYPERLINK "http://www.ed.gov/" \o "U.S. Department of Education website" </w:instrText>
            </w:r>
            <w:r w:rsidRPr="00021B5A">
              <w:rPr>
                <w:color w:val="17365D"/>
                <w:sz w:val="18"/>
              </w:rPr>
            </w:r>
            <w:r w:rsidRPr="00021B5A">
              <w:rPr>
                <w:color w:val="17365D"/>
                <w:sz w:val="18"/>
              </w:rPr>
              <w:fldChar w:fldCharType="separate"/>
            </w:r>
            <w:r w:rsidRPr="00543045">
              <w:rPr>
                <w:rStyle w:val="Hyperlink"/>
                <w:color w:val="17365D"/>
                <w:sz w:val="18"/>
              </w:rPr>
              <w:t>www.ed.gov</w:t>
            </w:r>
          </w:p>
          <w:p w14:paraId="1D1A3A39" w14:textId="78A16229" w:rsidR="00D21F29" w:rsidRPr="00D21F29" w:rsidRDefault="00D21F29" w:rsidP="00D21F29">
            <w:pPr>
              <w:spacing w:before="40"/>
              <w:jc w:val="center"/>
              <w:rPr>
                <w:color w:val="17365D"/>
                <w:sz w:val="18"/>
              </w:rPr>
            </w:pPr>
            <w:r w:rsidRPr="00021B5A">
              <w:rPr>
                <w:color w:val="17365D"/>
                <w:sz w:val="18"/>
              </w:rPr>
              <w:fldChar w:fldCharType="end"/>
            </w:r>
            <w:r w:rsidRPr="00E52257">
              <w:rPr>
                <w:i/>
                <w:iCs/>
                <w:color w:val="17365D"/>
                <w:sz w:val="18"/>
              </w:rPr>
              <w:t xml:space="preserve">The Department of Education’s mission is to promote student achievement and preparation for global competitiveness by </w:t>
            </w:r>
            <w:r w:rsidRPr="00E52257">
              <w:rPr>
                <w:i/>
                <w:iCs/>
                <w:color w:val="17365D"/>
                <w:sz w:val="18"/>
              </w:rPr>
              <w:br/>
              <w:t>fostering educational excellence and ensuring equal access.</w:t>
            </w:r>
          </w:p>
          <w:p w14:paraId="7E57CA46" w14:textId="5EDE9C2C" w:rsidR="00D21F29" w:rsidRPr="00A20642" w:rsidRDefault="00D21F29"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t>56</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106F" w14:textId="77777777" w:rsidR="00C4141E" w:rsidRDefault="00C4141E" w:rsidP="000802F7">
      <w:pPr>
        <w:spacing w:before="0" w:after="0"/>
      </w:pPr>
      <w:r>
        <w:separator/>
      </w:r>
    </w:p>
  </w:footnote>
  <w:footnote w:type="continuationSeparator" w:id="0">
    <w:p w14:paraId="3F4DD400" w14:textId="77777777" w:rsidR="00C4141E" w:rsidRDefault="00C4141E" w:rsidP="000802F7">
      <w:pPr>
        <w:spacing w:before="0" w:after="0"/>
      </w:pPr>
      <w:r>
        <w:continuationSeparator/>
      </w:r>
    </w:p>
  </w:footnote>
  <w:footnote w:type="continuationNotice" w:id="1">
    <w:p w14:paraId="2B23847F" w14:textId="77777777" w:rsidR="00C4141E" w:rsidRDefault="00C414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D50E" w14:textId="614E748E" w:rsidR="00D21F29" w:rsidRDefault="00D21F29">
    <w:pPr>
      <w:pStyle w:val="Header"/>
    </w:pPr>
    <w:r>
      <w:rPr>
        <w:noProof/>
      </w:rPr>
      <w:drawing>
        <wp:anchor distT="0" distB="0" distL="114300" distR="114300" simplePos="0" relativeHeight="251659264" behindDoc="0" locked="0" layoutInCell="1" allowOverlap="1" wp14:anchorId="1C195CE5" wp14:editId="165BB153">
          <wp:simplePos x="0" y="0"/>
          <wp:positionH relativeFrom="column">
            <wp:posOffset>31750</wp:posOffset>
          </wp:positionH>
          <wp:positionV relativeFrom="paragraph">
            <wp:posOffset>121285</wp:posOffset>
          </wp:positionV>
          <wp:extent cx="914400" cy="914400"/>
          <wp:effectExtent l="0" t="0" r="0" b="0"/>
          <wp:wrapSquare wrapText="bothSides"/>
          <wp:docPr id="674958863" name="Picture 674958863"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12FD1" w14:textId="3BC074D2" w:rsidR="00D21F29" w:rsidRPr="00E97278" w:rsidRDefault="00D21F29" w:rsidP="00D21F29">
    <w:pPr>
      <w:pStyle w:val="Title"/>
      <w:pBdr>
        <w:top w:val="none" w:sz="0" w:space="0" w:color="auto"/>
        <w:bottom w:val="none" w:sz="0" w:space="0" w:color="auto"/>
      </w:pBdr>
      <w:spacing w:before="0" w:after="0"/>
      <w:contextualSpacing w:val="0"/>
      <w:jc w:val="center"/>
      <w:rPr>
        <w:rFonts w:ascii="Times New Roman" w:eastAsia="Times New Roman" w:hAnsi="Times New Roman" w:cs="Times New Roman"/>
        <w:b/>
        <w:color w:val="244061"/>
        <w:sz w:val="28"/>
      </w:rPr>
    </w:pPr>
    <w:r>
      <w:br w:type="column"/>
    </w:r>
    <w:r w:rsidRPr="00E97278">
      <w:rPr>
        <w:rFonts w:ascii="Times New Roman" w:eastAsia="Times New Roman" w:hAnsi="Times New Roman" w:cs="Times New Roman"/>
        <w:b/>
        <w:color w:val="244061"/>
        <w:spacing w:val="0"/>
        <w:kern w:val="0"/>
        <w:sz w:val="28"/>
        <w:szCs w:val="22"/>
      </w:rPr>
      <w:t>United States Department of Education</w:t>
    </w:r>
  </w:p>
  <w:p w14:paraId="05C14E62" w14:textId="7C0C1BB1" w:rsidR="00D21F29" w:rsidRPr="00D21F29" w:rsidRDefault="00D21F29" w:rsidP="00D21F29">
    <w:pPr>
      <w:pStyle w:val="Title"/>
      <w:pBdr>
        <w:top w:val="none" w:sz="0" w:space="0" w:color="auto"/>
        <w:bottom w:val="none" w:sz="0" w:space="0" w:color="auto"/>
      </w:pBdr>
      <w:spacing w:before="0" w:after="0"/>
      <w:contextualSpacing w:val="0"/>
      <w:jc w:val="center"/>
      <w:rPr>
        <w:rFonts w:ascii="Times New Roman" w:eastAsia="Times New Roman" w:hAnsi="Times New Roman" w:cs="Times New Roman"/>
        <w:b/>
        <w:color w:val="244061"/>
        <w:sz w:val="28"/>
      </w:rPr>
    </w:pPr>
    <w:r w:rsidRPr="00E97278">
      <w:rPr>
        <w:rFonts w:ascii="Times New Roman" w:eastAsia="Times New Roman" w:hAnsi="Times New Roman" w:cs="Times New Roman"/>
        <w:b/>
        <w:color w:val="244061"/>
        <w:spacing w:val="0"/>
        <w:kern w:val="0"/>
        <w:sz w:val="28"/>
        <w:szCs w:val="22"/>
      </w:rPr>
      <w:t>Office of Special Education and Rehabilitative Services</w:t>
    </w:r>
  </w:p>
  <w:p w14:paraId="5A439CC0" w14:textId="4FF59170" w:rsidR="00D21F29" w:rsidRDefault="00D21F29" w:rsidP="00D21F29">
    <w:pPr>
      <w:pStyle w:val="Header"/>
      <w:tabs>
        <w:tab w:val="clear" w:pos="4320"/>
        <w:tab w:val="clear" w:pos="8640"/>
        <w:tab w:val="left" w:pos="6190"/>
      </w:tabs>
    </w:pPr>
  </w:p>
  <w:p w14:paraId="53E6D565" w14:textId="77777777" w:rsidR="00D21F29" w:rsidRDefault="00D21F29" w:rsidP="00D21F29">
    <w:pPr>
      <w:pStyle w:val="Header"/>
      <w:tabs>
        <w:tab w:val="clear" w:pos="4320"/>
        <w:tab w:val="clear" w:pos="8640"/>
        <w:tab w:val="left" w:pos="6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0AC007EF"/>
    <w:multiLevelType w:val="hybridMultilevel"/>
    <w:tmpl w:val="1DA4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764FE2"/>
    <w:multiLevelType w:val="hybridMultilevel"/>
    <w:tmpl w:val="FE546DDE"/>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ED2F2F"/>
    <w:multiLevelType w:val="hybridMultilevel"/>
    <w:tmpl w:val="AE7671EA"/>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0106E"/>
    <w:multiLevelType w:val="hybridMultilevel"/>
    <w:tmpl w:val="A3A68884"/>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8"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E3E67"/>
    <w:multiLevelType w:val="hybridMultilevel"/>
    <w:tmpl w:val="D4DEF9AE"/>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6686E"/>
    <w:multiLevelType w:val="hybridMultilevel"/>
    <w:tmpl w:val="F0385C00"/>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15"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6"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A6076"/>
    <w:multiLevelType w:val="hybridMultilevel"/>
    <w:tmpl w:val="C53C2C9E"/>
    <w:lvl w:ilvl="0" w:tplc="EF6C9D46">
      <w:start w:val="1"/>
      <w:numFmt w:val="bullet"/>
      <w:lvlText w:val=""/>
      <w:lvlJc w:val="left"/>
      <w:pPr>
        <w:ind w:left="720" w:hanging="360"/>
      </w:pPr>
      <w:rPr>
        <w:rFonts w:ascii="Symbol" w:hAnsi="Symbol"/>
      </w:rPr>
    </w:lvl>
    <w:lvl w:ilvl="1" w:tplc="1D7A3CFA">
      <w:start w:val="1"/>
      <w:numFmt w:val="bullet"/>
      <w:lvlText w:val=""/>
      <w:lvlJc w:val="left"/>
      <w:pPr>
        <w:ind w:left="720" w:hanging="360"/>
      </w:pPr>
      <w:rPr>
        <w:rFonts w:ascii="Symbol" w:hAnsi="Symbol"/>
      </w:rPr>
    </w:lvl>
    <w:lvl w:ilvl="2" w:tplc="A1BEA886">
      <w:start w:val="1"/>
      <w:numFmt w:val="bullet"/>
      <w:lvlText w:val=""/>
      <w:lvlJc w:val="left"/>
      <w:pPr>
        <w:ind w:left="720" w:hanging="360"/>
      </w:pPr>
      <w:rPr>
        <w:rFonts w:ascii="Symbol" w:hAnsi="Symbol"/>
      </w:rPr>
    </w:lvl>
    <w:lvl w:ilvl="3" w:tplc="B1D23ACA">
      <w:start w:val="1"/>
      <w:numFmt w:val="bullet"/>
      <w:lvlText w:val=""/>
      <w:lvlJc w:val="left"/>
      <w:pPr>
        <w:ind w:left="720" w:hanging="360"/>
      </w:pPr>
      <w:rPr>
        <w:rFonts w:ascii="Symbol" w:hAnsi="Symbol"/>
      </w:rPr>
    </w:lvl>
    <w:lvl w:ilvl="4" w:tplc="D6A2B8C8">
      <w:start w:val="1"/>
      <w:numFmt w:val="bullet"/>
      <w:lvlText w:val=""/>
      <w:lvlJc w:val="left"/>
      <w:pPr>
        <w:ind w:left="720" w:hanging="360"/>
      </w:pPr>
      <w:rPr>
        <w:rFonts w:ascii="Symbol" w:hAnsi="Symbol"/>
      </w:rPr>
    </w:lvl>
    <w:lvl w:ilvl="5" w:tplc="7CC050F4">
      <w:start w:val="1"/>
      <w:numFmt w:val="bullet"/>
      <w:lvlText w:val=""/>
      <w:lvlJc w:val="left"/>
      <w:pPr>
        <w:ind w:left="720" w:hanging="360"/>
      </w:pPr>
      <w:rPr>
        <w:rFonts w:ascii="Symbol" w:hAnsi="Symbol"/>
      </w:rPr>
    </w:lvl>
    <w:lvl w:ilvl="6" w:tplc="377C0CFC">
      <w:start w:val="1"/>
      <w:numFmt w:val="bullet"/>
      <w:lvlText w:val=""/>
      <w:lvlJc w:val="left"/>
      <w:pPr>
        <w:ind w:left="720" w:hanging="360"/>
      </w:pPr>
      <w:rPr>
        <w:rFonts w:ascii="Symbol" w:hAnsi="Symbol"/>
      </w:rPr>
    </w:lvl>
    <w:lvl w:ilvl="7" w:tplc="90AA513A">
      <w:start w:val="1"/>
      <w:numFmt w:val="bullet"/>
      <w:lvlText w:val=""/>
      <w:lvlJc w:val="left"/>
      <w:pPr>
        <w:ind w:left="720" w:hanging="360"/>
      </w:pPr>
      <w:rPr>
        <w:rFonts w:ascii="Symbol" w:hAnsi="Symbol"/>
      </w:rPr>
    </w:lvl>
    <w:lvl w:ilvl="8" w:tplc="A99C7492">
      <w:start w:val="1"/>
      <w:numFmt w:val="bullet"/>
      <w:lvlText w:val=""/>
      <w:lvlJc w:val="left"/>
      <w:pPr>
        <w:ind w:left="720" w:hanging="360"/>
      </w:pPr>
      <w:rPr>
        <w:rFonts w:ascii="Symbol" w:hAnsi="Symbol"/>
      </w:rPr>
    </w:lvl>
  </w:abstractNum>
  <w:abstractNum w:abstractNumId="19"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21"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22"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12416"/>
    <w:multiLevelType w:val="hybridMultilevel"/>
    <w:tmpl w:val="A62C94A2"/>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968855267">
    <w:abstractNumId w:val="13"/>
  </w:num>
  <w:num w:numId="2" w16cid:durableId="1005667031">
    <w:abstractNumId w:val="23"/>
  </w:num>
  <w:num w:numId="3" w16cid:durableId="1059286313">
    <w:abstractNumId w:val="15"/>
  </w:num>
  <w:num w:numId="4" w16cid:durableId="392893652">
    <w:abstractNumId w:val="14"/>
  </w:num>
  <w:num w:numId="5" w16cid:durableId="1270743283">
    <w:abstractNumId w:val="26"/>
  </w:num>
  <w:num w:numId="6" w16cid:durableId="726077527">
    <w:abstractNumId w:val="0"/>
  </w:num>
  <w:num w:numId="7" w16cid:durableId="80951006">
    <w:abstractNumId w:val="1"/>
  </w:num>
  <w:num w:numId="8" w16cid:durableId="712341255">
    <w:abstractNumId w:val="21"/>
  </w:num>
  <w:num w:numId="9" w16cid:durableId="334263192">
    <w:abstractNumId w:val="20"/>
  </w:num>
  <w:num w:numId="10" w16cid:durableId="1321931414">
    <w:abstractNumId w:val="7"/>
  </w:num>
  <w:num w:numId="11" w16cid:durableId="819927582">
    <w:abstractNumId w:val="6"/>
  </w:num>
  <w:num w:numId="12" w16cid:durableId="1834222315">
    <w:abstractNumId w:val="11"/>
  </w:num>
  <w:num w:numId="13" w16cid:durableId="1727988286">
    <w:abstractNumId w:val="17"/>
  </w:num>
  <w:num w:numId="14" w16cid:durableId="338777892">
    <w:abstractNumId w:val="16"/>
  </w:num>
  <w:num w:numId="15" w16cid:durableId="537395629">
    <w:abstractNumId w:val="19"/>
  </w:num>
  <w:num w:numId="16" w16cid:durableId="1455634041">
    <w:abstractNumId w:val="22"/>
  </w:num>
  <w:num w:numId="17" w16cid:durableId="1685550335">
    <w:abstractNumId w:val="8"/>
  </w:num>
  <w:num w:numId="18" w16cid:durableId="266931805">
    <w:abstractNumId w:val="12"/>
  </w:num>
  <w:num w:numId="19" w16cid:durableId="1685086607">
    <w:abstractNumId w:val="24"/>
  </w:num>
  <w:num w:numId="20" w16cid:durableId="921258589">
    <w:abstractNumId w:val="18"/>
  </w:num>
  <w:num w:numId="21" w16cid:durableId="389814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637841">
    <w:abstractNumId w:val="2"/>
  </w:num>
  <w:num w:numId="23" w16cid:durableId="9805735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058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681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2638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99050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001"/>
    <w:rsid w:val="00004700"/>
    <w:rsid w:val="00004E61"/>
    <w:rsid w:val="000060A9"/>
    <w:rsid w:val="00006354"/>
    <w:rsid w:val="00010158"/>
    <w:rsid w:val="00011778"/>
    <w:rsid w:val="0001214A"/>
    <w:rsid w:val="000123EB"/>
    <w:rsid w:val="0001275E"/>
    <w:rsid w:val="00012CFF"/>
    <w:rsid w:val="00012EB2"/>
    <w:rsid w:val="00012FE7"/>
    <w:rsid w:val="00013004"/>
    <w:rsid w:val="00013420"/>
    <w:rsid w:val="000135C2"/>
    <w:rsid w:val="00013989"/>
    <w:rsid w:val="00014550"/>
    <w:rsid w:val="00014552"/>
    <w:rsid w:val="0001550D"/>
    <w:rsid w:val="00015D55"/>
    <w:rsid w:val="0001621B"/>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5DF"/>
    <w:rsid w:val="00027886"/>
    <w:rsid w:val="00027F39"/>
    <w:rsid w:val="00030B45"/>
    <w:rsid w:val="00030F20"/>
    <w:rsid w:val="00031560"/>
    <w:rsid w:val="00031C3A"/>
    <w:rsid w:val="00031E3A"/>
    <w:rsid w:val="00032548"/>
    <w:rsid w:val="00032DB1"/>
    <w:rsid w:val="00033474"/>
    <w:rsid w:val="0003461E"/>
    <w:rsid w:val="00035814"/>
    <w:rsid w:val="000360A5"/>
    <w:rsid w:val="00036DB6"/>
    <w:rsid w:val="00037032"/>
    <w:rsid w:val="000378F3"/>
    <w:rsid w:val="000379CD"/>
    <w:rsid w:val="000379F6"/>
    <w:rsid w:val="000406CD"/>
    <w:rsid w:val="00041E27"/>
    <w:rsid w:val="000420BE"/>
    <w:rsid w:val="000423B5"/>
    <w:rsid w:val="00042EBF"/>
    <w:rsid w:val="00043341"/>
    <w:rsid w:val="0004359A"/>
    <w:rsid w:val="000437FD"/>
    <w:rsid w:val="0004398A"/>
    <w:rsid w:val="0004467F"/>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39DE"/>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02B"/>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C7481"/>
    <w:rsid w:val="000D0117"/>
    <w:rsid w:val="000D1580"/>
    <w:rsid w:val="000D2FB8"/>
    <w:rsid w:val="000D37FC"/>
    <w:rsid w:val="000D4623"/>
    <w:rsid w:val="000D4947"/>
    <w:rsid w:val="000D4C8D"/>
    <w:rsid w:val="000D5753"/>
    <w:rsid w:val="000D69E5"/>
    <w:rsid w:val="000D6C5B"/>
    <w:rsid w:val="000D6EC4"/>
    <w:rsid w:val="000D7858"/>
    <w:rsid w:val="000D7F9F"/>
    <w:rsid w:val="000E0A7D"/>
    <w:rsid w:val="000E0D1F"/>
    <w:rsid w:val="000E1C83"/>
    <w:rsid w:val="000E206D"/>
    <w:rsid w:val="000E2C3E"/>
    <w:rsid w:val="000E30A8"/>
    <w:rsid w:val="000E3445"/>
    <w:rsid w:val="000E43BF"/>
    <w:rsid w:val="000E4B47"/>
    <w:rsid w:val="000E4B9A"/>
    <w:rsid w:val="000E54B5"/>
    <w:rsid w:val="000E56FA"/>
    <w:rsid w:val="000E5D05"/>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68E8"/>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0F51"/>
    <w:rsid w:val="0011113F"/>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7EF"/>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5C7A"/>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1169"/>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3FB"/>
    <w:rsid w:val="0017668C"/>
    <w:rsid w:val="00177098"/>
    <w:rsid w:val="00177EC7"/>
    <w:rsid w:val="001806EA"/>
    <w:rsid w:val="0018087A"/>
    <w:rsid w:val="00181DEB"/>
    <w:rsid w:val="0018238E"/>
    <w:rsid w:val="001829C9"/>
    <w:rsid w:val="00183E9B"/>
    <w:rsid w:val="0018469E"/>
    <w:rsid w:val="00186420"/>
    <w:rsid w:val="001866DE"/>
    <w:rsid w:val="001907A4"/>
    <w:rsid w:val="00190B59"/>
    <w:rsid w:val="0019105A"/>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4B9B"/>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6F4"/>
    <w:rsid w:val="001E5B13"/>
    <w:rsid w:val="001E5CEA"/>
    <w:rsid w:val="001F1285"/>
    <w:rsid w:val="001F1489"/>
    <w:rsid w:val="001F1921"/>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168"/>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AFB"/>
    <w:rsid w:val="00253D4F"/>
    <w:rsid w:val="0025401C"/>
    <w:rsid w:val="00254A25"/>
    <w:rsid w:val="00254CC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41F0"/>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406"/>
    <w:rsid w:val="002A0900"/>
    <w:rsid w:val="002A1328"/>
    <w:rsid w:val="002A1E9E"/>
    <w:rsid w:val="002A1EAC"/>
    <w:rsid w:val="002A2503"/>
    <w:rsid w:val="002A2966"/>
    <w:rsid w:val="002A2A1B"/>
    <w:rsid w:val="002A2DE2"/>
    <w:rsid w:val="002A43F7"/>
    <w:rsid w:val="002A476C"/>
    <w:rsid w:val="002A5A85"/>
    <w:rsid w:val="002A5ACF"/>
    <w:rsid w:val="002A5C3B"/>
    <w:rsid w:val="002A5E4E"/>
    <w:rsid w:val="002A6555"/>
    <w:rsid w:val="002A6E26"/>
    <w:rsid w:val="002A723A"/>
    <w:rsid w:val="002A743C"/>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2B1F"/>
    <w:rsid w:val="002E346C"/>
    <w:rsid w:val="002E4104"/>
    <w:rsid w:val="002E456C"/>
    <w:rsid w:val="002E4FF3"/>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B97"/>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3435"/>
    <w:rsid w:val="00334953"/>
    <w:rsid w:val="00335139"/>
    <w:rsid w:val="00337015"/>
    <w:rsid w:val="00340115"/>
    <w:rsid w:val="00340484"/>
    <w:rsid w:val="0034074E"/>
    <w:rsid w:val="0034085B"/>
    <w:rsid w:val="00341650"/>
    <w:rsid w:val="0034198B"/>
    <w:rsid w:val="00342627"/>
    <w:rsid w:val="003427CD"/>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08B2"/>
    <w:rsid w:val="0035126E"/>
    <w:rsid w:val="0035249E"/>
    <w:rsid w:val="00352769"/>
    <w:rsid w:val="00352E0A"/>
    <w:rsid w:val="00352E68"/>
    <w:rsid w:val="003546A3"/>
    <w:rsid w:val="0035538B"/>
    <w:rsid w:val="00355E23"/>
    <w:rsid w:val="003567DA"/>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86F10"/>
    <w:rsid w:val="00390CF9"/>
    <w:rsid w:val="003910BA"/>
    <w:rsid w:val="00391198"/>
    <w:rsid w:val="0039177A"/>
    <w:rsid w:val="00391C58"/>
    <w:rsid w:val="00391C9B"/>
    <w:rsid w:val="003923EF"/>
    <w:rsid w:val="00392D78"/>
    <w:rsid w:val="0039358F"/>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D5F"/>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6C1"/>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0B8C"/>
    <w:rsid w:val="003D3787"/>
    <w:rsid w:val="003D4AAD"/>
    <w:rsid w:val="003D5FD3"/>
    <w:rsid w:val="003D61B5"/>
    <w:rsid w:val="003D6CFB"/>
    <w:rsid w:val="003D7514"/>
    <w:rsid w:val="003E037C"/>
    <w:rsid w:val="003E15B9"/>
    <w:rsid w:val="003E1ADD"/>
    <w:rsid w:val="003E1D8E"/>
    <w:rsid w:val="003E28EB"/>
    <w:rsid w:val="003E3B30"/>
    <w:rsid w:val="003E467E"/>
    <w:rsid w:val="003E53BB"/>
    <w:rsid w:val="003E5A6B"/>
    <w:rsid w:val="003E65F5"/>
    <w:rsid w:val="003E6E08"/>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50E0"/>
    <w:rsid w:val="004070B7"/>
    <w:rsid w:val="0041306A"/>
    <w:rsid w:val="0041349F"/>
    <w:rsid w:val="004134D0"/>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7F4"/>
    <w:rsid w:val="00422BEE"/>
    <w:rsid w:val="00422FBD"/>
    <w:rsid w:val="00423A30"/>
    <w:rsid w:val="00423BCE"/>
    <w:rsid w:val="00424D45"/>
    <w:rsid w:val="00424E9C"/>
    <w:rsid w:val="00424EF0"/>
    <w:rsid w:val="004255C0"/>
    <w:rsid w:val="00426370"/>
    <w:rsid w:val="00427338"/>
    <w:rsid w:val="004278B3"/>
    <w:rsid w:val="00427DD6"/>
    <w:rsid w:val="0043130B"/>
    <w:rsid w:val="00431D4D"/>
    <w:rsid w:val="00433A7A"/>
    <w:rsid w:val="00433DB7"/>
    <w:rsid w:val="00433E14"/>
    <w:rsid w:val="00434298"/>
    <w:rsid w:val="00435119"/>
    <w:rsid w:val="0043678A"/>
    <w:rsid w:val="00436802"/>
    <w:rsid w:val="00437204"/>
    <w:rsid w:val="004374D6"/>
    <w:rsid w:val="00437F97"/>
    <w:rsid w:val="00440EFA"/>
    <w:rsid w:val="00441096"/>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62DB"/>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77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2B6F"/>
    <w:rsid w:val="00494644"/>
    <w:rsid w:val="004952E2"/>
    <w:rsid w:val="00495547"/>
    <w:rsid w:val="004955D2"/>
    <w:rsid w:val="00496C09"/>
    <w:rsid w:val="00496FEA"/>
    <w:rsid w:val="0049743B"/>
    <w:rsid w:val="00497C4D"/>
    <w:rsid w:val="004A00BD"/>
    <w:rsid w:val="004A048F"/>
    <w:rsid w:val="004A0AAA"/>
    <w:rsid w:val="004A1179"/>
    <w:rsid w:val="004A13F5"/>
    <w:rsid w:val="004A15B3"/>
    <w:rsid w:val="004A1709"/>
    <w:rsid w:val="004A2E39"/>
    <w:rsid w:val="004A38B9"/>
    <w:rsid w:val="004A3CF1"/>
    <w:rsid w:val="004A4483"/>
    <w:rsid w:val="004A476A"/>
    <w:rsid w:val="004A543B"/>
    <w:rsid w:val="004A571B"/>
    <w:rsid w:val="004A5828"/>
    <w:rsid w:val="004A72AF"/>
    <w:rsid w:val="004A7446"/>
    <w:rsid w:val="004A7ECD"/>
    <w:rsid w:val="004A7F62"/>
    <w:rsid w:val="004B015A"/>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333"/>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2AF"/>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596"/>
    <w:rsid w:val="005179CD"/>
    <w:rsid w:val="00517E39"/>
    <w:rsid w:val="00520619"/>
    <w:rsid w:val="00520D39"/>
    <w:rsid w:val="00520F5D"/>
    <w:rsid w:val="005217D0"/>
    <w:rsid w:val="00521E96"/>
    <w:rsid w:val="00521EAE"/>
    <w:rsid w:val="00522CFA"/>
    <w:rsid w:val="0052343C"/>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05"/>
    <w:rsid w:val="005322E8"/>
    <w:rsid w:val="005324CB"/>
    <w:rsid w:val="005331BB"/>
    <w:rsid w:val="00533B0C"/>
    <w:rsid w:val="00533E58"/>
    <w:rsid w:val="005340E9"/>
    <w:rsid w:val="00534663"/>
    <w:rsid w:val="00534F0F"/>
    <w:rsid w:val="00535B05"/>
    <w:rsid w:val="00536507"/>
    <w:rsid w:val="00536628"/>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5AD9"/>
    <w:rsid w:val="005566A3"/>
    <w:rsid w:val="00556ACB"/>
    <w:rsid w:val="00556FC4"/>
    <w:rsid w:val="005573B3"/>
    <w:rsid w:val="005573BB"/>
    <w:rsid w:val="00557804"/>
    <w:rsid w:val="00557D06"/>
    <w:rsid w:val="00561068"/>
    <w:rsid w:val="00562076"/>
    <w:rsid w:val="00562F31"/>
    <w:rsid w:val="005630B4"/>
    <w:rsid w:val="005635E3"/>
    <w:rsid w:val="00564357"/>
    <w:rsid w:val="005643BD"/>
    <w:rsid w:val="00564BFF"/>
    <w:rsid w:val="00565369"/>
    <w:rsid w:val="0056613A"/>
    <w:rsid w:val="0056654D"/>
    <w:rsid w:val="00566D6C"/>
    <w:rsid w:val="00571E72"/>
    <w:rsid w:val="00572D50"/>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1F17"/>
    <w:rsid w:val="005D22B2"/>
    <w:rsid w:val="005D3F8B"/>
    <w:rsid w:val="005D5508"/>
    <w:rsid w:val="005D64BA"/>
    <w:rsid w:val="005D6D24"/>
    <w:rsid w:val="005D7714"/>
    <w:rsid w:val="005D799E"/>
    <w:rsid w:val="005E00AD"/>
    <w:rsid w:val="005E0A4D"/>
    <w:rsid w:val="005E1087"/>
    <w:rsid w:val="005E10AF"/>
    <w:rsid w:val="005E1FBE"/>
    <w:rsid w:val="005E2832"/>
    <w:rsid w:val="005E3248"/>
    <w:rsid w:val="005E363D"/>
    <w:rsid w:val="005E3CAC"/>
    <w:rsid w:val="005E3DB9"/>
    <w:rsid w:val="005E414F"/>
    <w:rsid w:val="005E5083"/>
    <w:rsid w:val="005E54D4"/>
    <w:rsid w:val="005E59DB"/>
    <w:rsid w:val="005E635B"/>
    <w:rsid w:val="005E75A0"/>
    <w:rsid w:val="005F00C3"/>
    <w:rsid w:val="005F2033"/>
    <w:rsid w:val="005F28F5"/>
    <w:rsid w:val="005F408F"/>
    <w:rsid w:val="005F4279"/>
    <w:rsid w:val="005F481B"/>
    <w:rsid w:val="005F5010"/>
    <w:rsid w:val="005F5034"/>
    <w:rsid w:val="005F5818"/>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2EB"/>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3754"/>
    <w:rsid w:val="0064501C"/>
    <w:rsid w:val="00646642"/>
    <w:rsid w:val="00646E42"/>
    <w:rsid w:val="0064716E"/>
    <w:rsid w:val="00647F29"/>
    <w:rsid w:val="00650305"/>
    <w:rsid w:val="00650385"/>
    <w:rsid w:val="00650588"/>
    <w:rsid w:val="00650873"/>
    <w:rsid w:val="00650CF7"/>
    <w:rsid w:val="00650D52"/>
    <w:rsid w:val="00650E5B"/>
    <w:rsid w:val="006510EC"/>
    <w:rsid w:val="00651137"/>
    <w:rsid w:val="00651541"/>
    <w:rsid w:val="00652AA7"/>
    <w:rsid w:val="0065340E"/>
    <w:rsid w:val="006535AD"/>
    <w:rsid w:val="00653B49"/>
    <w:rsid w:val="00653D42"/>
    <w:rsid w:val="006544DF"/>
    <w:rsid w:val="0065474E"/>
    <w:rsid w:val="0065501F"/>
    <w:rsid w:val="00655963"/>
    <w:rsid w:val="0065643A"/>
    <w:rsid w:val="006566BC"/>
    <w:rsid w:val="006567B2"/>
    <w:rsid w:val="006570CC"/>
    <w:rsid w:val="00657135"/>
    <w:rsid w:val="0065724F"/>
    <w:rsid w:val="00660214"/>
    <w:rsid w:val="00660BFE"/>
    <w:rsid w:val="00661A0F"/>
    <w:rsid w:val="00661BD9"/>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36B"/>
    <w:rsid w:val="00686ABE"/>
    <w:rsid w:val="00687993"/>
    <w:rsid w:val="006902F0"/>
    <w:rsid w:val="006905D0"/>
    <w:rsid w:val="00690AC9"/>
    <w:rsid w:val="00691386"/>
    <w:rsid w:val="00692716"/>
    <w:rsid w:val="006935F4"/>
    <w:rsid w:val="00693A7B"/>
    <w:rsid w:val="00693B33"/>
    <w:rsid w:val="00694144"/>
    <w:rsid w:val="006942A9"/>
    <w:rsid w:val="00695D5E"/>
    <w:rsid w:val="00696F72"/>
    <w:rsid w:val="006973EB"/>
    <w:rsid w:val="0069761B"/>
    <w:rsid w:val="006A02EA"/>
    <w:rsid w:val="006A05A9"/>
    <w:rsid w:val="006A11BE"/>
    <w:rsid w:val="006A3544"/>
    <w:rsid w:val="006A36A8"/>
    <w:rsid w:val="006A36C0"/>
    <w:rsid w:val="006A3A68"/>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702"/>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16D5"/>
    <w:rsid w:val="006F16F3"/>
    <w:rsid w:val="006F1CEA"/>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7B3"/>
    <w:rsid w:val="00713972"/>
    <w:rsid w:val="00715709"/>
    <w:rsid w:val="00715B7C"/>
    <w:rsid w:val="00715CA8"/>
    <w:rsid w:val="007164C1"/>
    <w:rsid w:val="007166D8"/>
    <w:rsid w:val="007169DD"/>
    <w:rsid w:val="00716DBD"/>
    <w:rsid w:val="00717130"/>
    <w:rsid w:val="00717461"/>
    <w:rsid w:val="00717710"/>
    <w:rsid w:val="0072060C"/>
    <w:rsid w:val="00720D77"/>
    <w:rsid w:val="00720FA0"/>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151"/>
    <w:rsid w:val="00742D40"/>
    <w:rsid w:val="00742E14"/>
    <w:rsid w:val="00743466"/>
    <w:rsid w:val="00743680"/>
    <w:rsid w:val="00743759"/>
    <w:rsid w:val="00744152"/>
    <w:rsid w:val="00744585"/>
    <w:rsid w:val="007450A5"/>
    <w:rsid w:val="007453E4"/>
    <w:rsid w:val="00745BF1"/>
    <w:rsid w:val="00746369"/>
    <w:rsid w:val="00746F3A"/>
    <w:rsid w:val="00747DFB"/>
    <w:rsid w:val="00747E4D"/>
    <w:rsid w:val="00750CD5"/>
    <w:rsid w:val="00751D4E"/>
    <w:rsid w:val="00752483"/>
    <w:rsid w:val="007529F4"/>
    <w:rsid w:val="00752B05"/>
    <w:rsid w:val="00752FA3"/>
    <w:rsid w:val="00753E04"/>
    <w:rsid w:val="00754110"/>
    <w:rsid w:val="00754A1A"/>
    <w:rsid w:val="007555EC"/>
    <w:rsid w:val="0075665C"/>
    <w:rsid w:val="007566D0"/>
    <w:rsid w:val="00756827"/>
    <w:rsid w:val="00756ABA"/>
    <w:rsid w:val="00760C8C"/>
    <w:rsid w:val="00761753"/>
    <w:rsid w:val="00762352"/>
    <w:rsid w:val="00762BBD"/>
    <w:rsid w:val="007637D6"/>
    <w:rsid w:val="00764625"/>
    <w:rsid w:val="00764FE1"/>
    <w:rsid w:val="0076577B"/>
    <w:rsid w:val="00765C47"/>
    <w:rsid w:val="00767A2B"/>
    <w:rsid w:val="00770084"/>
    <w:rsid w:val="007700EC"/>
    <w:rsid w:val="0077028E"/>
    <w:rsid w:val="0077063D"/>
    <w:rsid w:val="007709B9"/>
    <w:rsid w:val="0077120F"/>
    <w:rsid w:val="007721A8"/>
    <w:rsid w:val="007730E3"/>
    <w:rsid w:val="00773230"/>
    <w:rsid w:val="00773304"/>
    <w:rsid w:val="007736C3"/>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5E6"/>
    <w:rsid w:val="00782908"/>
    <w:rsid w:val="00782B5F"/>
    <w:rsid w:val="00783062"/>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5A1"/>
    <w:rsid w:val="0080086C"/>
    <w:rsid w:val="008012B6"/>
    <w:rsid w:val="00802016"/>
    <w:rsid w:val="00803AC9"/>
    <w:rsid w:val="00803FBB"/>
    <w:rsid w:val="00804222"/>
    <w:rsid w:val="0080439F"/>
    <w:rsid w:val="008043A8"/>
    <w:rsid w:val="00804BFA"/>
    <w:rsid w:val="00805DD3"/>
    <w:rsid w:val="00807DB1"/>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6F5"/>
    <w:rsid w:val="0082574D"/>
    <w:rsid w:val="00826A26"/>
    <w:rsid w:val="00826D36"/>
    <w:rsid w:val="0082735C"/>
    <w:rsid w:val="008277E7"/>
    <w:rsid w:val="00827B5E"/>
    <w:rsid w:val="00827EE7"/>
    <w:rsid w:val="00827F81"/>
    <w:rsid w:val="008305A8"/>
    <w:rsid w:val="00831891"/>
    <w:rsid w:val="008320B5"/>
    <w:rsid w:val="00832953"/>
    <w:rsid w:val="00833541"/>
    <w:rsid w:val="00833727"/>
    <w:rsid w:val="008345E5"/>
    <w:rsid w:val="00834E68"/>
    <w:rsid w:val="00834FB7"/>
    <w:rsid w:val="00835297"/>
    <w:rsid w:val="00835CCC"/>
    <w:rsid w:val="00836848"/>
    <w:rsid w:val="00837940"/>
    <w:rsid w:val="00837E94"/>
    <w:rsid w:val="0084029E"/>
    <w:rsid w:val="0084279D"/>
    <w:rsid w:val="00843E0F"/>
    <w:rsid w:val="00845096"/>
    <w:rsid w:val="00846393"/>
    <w:rsid w:val="0084674B"/>
    <w:rsid w:val="008469C7"/>
    <w:rsid w:val="00846C1E"/>
    <w:rsid w:val="0084778F"/>
    <w:rsid w:val="00847916"/>
    <w:rsid w:val="00850278"/>
    <w:rsid w:val="00850BB0"/>
    <w:rsid w:val="0085119E"/>
    <w:rsid w:val="008517CB"/>
    <w:rsid w:val="00851CC5"/>
    <w:rsid w:val="008521F9"/>
    <w:rsid w:val="00852263"/>
    <w:rsid w:val="0085317B"/>
    <w:rsid w:val="0085496F"/>
    <w:rsid w:val="008558B7"/>
    <w:rsid w:val="0085687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24FE"/>
    <w:rsid w:val="00883F13"/>
    <w:rsid w:val="0088492C"/>
    <w:rsid w:val="00885970"/>
    <w:rsid w:val="00885C62"/>
    <w:rsid w:val="00885EBA"/>
    <w:rsid w:val="0088607D"/>
    <w:rsid w:val="008872E7"/>
    <w:rsid w:val="0088758A"/>
    <w:rsid w:val="00887FBA"/>
    <w:rsid w:val="008901AF"/>
    <w:rsid w:val="00890E92"/>
    <w:rsid w:val="00890FCA"/>
    <w:rsid w:val="0089101A"/>
    <w:rsid w:val="00891027"/>
    <w:rsid w:val="008911DD"/>
    <w:rsid w:val="00891CEE"/>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23C"/>
    <w:rsid w:val="008C0A1F"/>
    <w:rsid w:val="008C1409"/>
    <w:rsid w:val="008C26A6"/>
    <w:rsid w:val="008C4470"/>
    <w:rsid w:val="008C5962"/>
    <w:rsid w:val="008C5AD3"/>
    <w:rsid w:val="008C5CBE"/>
    <w:rsid w:val="008C5DCD"/>
    <w:rsid w:val="008C5FD7"/>
    <w:rsid w:val="008C6D27"/>
    <w:rsid w:val="008C7D15"/>
    <w:rsid w:val="008C7D4C"/>
    <w:rsid w:val="008C7DAC"/>
    <w:rsid w:val="008D0823"/>
    <w:rsid w:val="008D194B"/>
    <w:rsid w:val="008D29B0"/>
    <w:rsid w:val="008D3349"/>
    <w:rsid w:val="008D3482"/>
    <w:rsid w:val="008D369E"/>
    <w:rsid w:val="008D433F"/>
    <w:rsid w:val="008D559F"/>
    <w:rsid w:val="008D619C"/>
    <w:rsid w:val="008D66A2"/>
    <w:rsid w:val="008D78A8"/>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2CE2"/>
    <w:rsid w:val="008F3DDD"/>
    <w:rsid w:val="008F4918"/>
    <w:rsid w:val="008F4F89"/>
    <w:rsid w:val="008F532E"/>
    <w:rsid w:val="008F5DB7"/>
    <w:rsid w:val="008F63B5"/>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350"/>
    <w:rsid w:val="0097671A"/>
    <w:rsid w:val="009774B8"/>
    <w:rsid w:val="00977B85"/>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6EE8"/>
    <w:rsid w:val="0098712B"/>
    <w:rsid w:val="009901EF"/>
    <w:rsid w:val="009909CA"/>
    <w:rsid w:val="009914D8"/>
    <w:rsid w:val="009922FC"/>
    <w:rsid w:val="00992A44"/>
    <w:rsid w:val="009936FF"/>
    <w:rsid w:val="0099447D"/>
    <w:rsid w:val="00995398"/>
    <w:rsid w:val="00995746"/>
    <w:rsid w:val="00995E40"/>
    <w:rsid w:val="0099603A"/>
    <w:rsid w:val="00996A55"/>
    <w:rsid w:val="00996DD5"/>
    <w:rsid w:val="00997510"/>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2EB4"/>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1F8"/>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0A6"/>
    <w:rsid w:val="009E58E6"/>
    <w:rsid w:val="009E7157"/>
    <w:rsid w:val="009F181B"/>
    <w:rsid w:val="009F1D24"/>
    <w:rsid w:val="009F23BB"/>
    <w:rsid w:val="009F3208"/>
    <w:rsid w:val="009F348B"/>
    <w:rsid w:val="009F37D6"/>
    <w:rsid w:val="009F3F0F"/>
    <w:rsid w:val="009F4106"/>
    <w:rsid w:val="009F415D"/>
    <w:rsid w:val="009F67E9"/>
    <w:rsid w:val="009F6D6C"/>
    <w:rsid w:val="009F79A2"/>
    <w:rsid w:val="00A017B3"/>
    <w:rsid w:val="00A01A4A"/>
    <w:rsid w:val="00A01C3F"/>
    <w:rsid w:val="00A01E85"/>
    <w:rsid w:val="00A02C45"/>
    <w:rsid w:val="00A03EFA"/>
    <w:rsid w:val="00A042A8"/>
    <w:rsid w:val="00A06AB0"/>
    <w:rsid w:val="00A06C95"/>
    <w:rsid w:val="00A06EFB"/>
    <w:rsid w:val="00A1023C"/>
    <w:rsid w:val="00A10548"/>
    <w:rsid w:val="00A10714"/>
    <w:rsid w:val="00A111ED"/>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55FA"/>
    <w:rsid w:val="00A26AB9"/>
    <w:rsid w:val="00A26EB1"/>
    <w:rsid w:val="00A27325"/>
    <w:rsid w:val="00A2772B"/>
    <w:rsid w:val="00A3031B"/>
    <w:rsid w:val="00A3056B"/>
    <w:rsid w:val="00A30602"/>
    <w:rsid w:val="00A31439"/>
    <w:rsid w:val="00A31F80"/>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688C"/>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C6C"/>
    <w:rsid w:val="00AA0F67"/>
    <w:rsid w:val="00AA1A12"/>
    <w:rsid w:val="00AA2BB8"/>
    <w:rsid w:val="00AA3463"/>
    <w:rsid w:val="00AA3769"/>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65CA"/>
    <w:rsid w:val="00AB7284"/>
    <w:rsid w:val="00AB7B8B"/>
    <w:rsid w:val="00AB7E25"/>
    <w:rsid w:val="00AC0489"/>
    <w:rsid w:val="00AC0646"/>
    <w:rsid w:val="00AC1418"/>
    <w:rsid w:val="00AC161E"/>
    <w:rsid w:val="00AC2111"/>
    <w:rsid w:val="00AC23D5"/>
    <w:rsid w:val="00AC2D23"/>
    <w:rsid w:val="00AC41BF"/>
    <w:rsid w:val="00AC5429"/>
    <w:rsid w:val="00AC5922"/>
    <w:rsid w:val="00AC5AB3"/>
    <w:rsid w:val="00AC79E3"/>
    <w:rsid w:val="00AC7BB6"/>
    <w:rsid w:val="00AD0841"/>
    <w:rsid w:val="00AD10DA"/>
    <w:rsid w:val="00AD1594"/>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11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2A54"/>
    <w:rsid w:val="00AF2D63"/>
    <w:rsid w:val="00AF7190"/>
    <w:rsid w:val="00AF73DB"/>
    <w:rsid w:val="00B0123F"/>
    <w:rsid w:val="00B01334"/>
    <w:rsid w:val="00B01CEA"/>
    <w:rsid w:val="00B02670"/>
    <w:rsid w:val="00B02904"/>
    <w:rsid w:val="00B032DE"/>
    <w:rsid w:val="00B03B19"/>
    <w:rsid w:val="00B04149"/>
    <w:rsid w:val="00B0414E"/>
    <w:rsid w:val="00B05769"/>
    <w:rsid w:val="00B06A84"/>
    <w:rsid w:val="00B06B7E"/>
    <w:rsid w:val="00B06C3E"/>
    <w:rsid w:val="00B073DB"/>
    <w:rsid w:val="00B07423"/>
    <w:rsid w:val="00B0758A"/>
    <w:rsid w:val="00B07595"/>
    <w:rsid w:val="00B12A6D"/>
    <w:rsid w:val="00B13554"/>
    <w:rsid w:val="00B13B7A"/>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A83"/>
    <w:rsid w:val="00B37D47"/>
    <w:rsid w:val="00B40046"/>
    <w:rsid w:val="00B40185"/>
    <w:rsid w:val="00B408EE"/>
    <w:rsid w:val="00B409C3"/>
    <w:rsid w:val="00B40AB5"/>
    <w:rsid w:val="00B438CD"/>
    <w:rsid w:val="00B43A02"/>
    <w:rsid w:val="00B43B37"/>
    <w:rsid w:val="00B4459F"/>
    <w:rsid w:val="00B453D5"/>
    <w:rsid w:val="00B455C9"/>
    <w:rsid w:val="00B45AFC"/>
    <w:rsid w:val="00B46259"/>
    <w:rsid w:val="00B4665F"/>
    <w:rsid w:val="00B46857"/>
    <w:rsid w:val="00B505CD"/>
    <w:rsid w:val="00B50A83"/>
    <w:rsid w:val="00B50F8A"/>
    <w:rsid w:val="00B51029"/>
    <w:rsid w:val="00B5154D"/>
    <w:rsid w:val="00B51C5C"/>
    <w:rsid w:val="00B5224F"/>
    <w:rsid w:val="00B5226C"/>
    <w:rsid w:val="00B54491"/>
    <w:rsid w:val="00B54E6C"/>
    <w:rsid w:val="00B55A87"/>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BA4"/>
    <w:rsid w:val="00B67F4C"/>
    <w:rsid w:val="00B709CA"/>
    <w:rsid w:val="00B70C7F"/>
    <w:rsid w:val="00B717AA"/>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87A9B"/>
    <w:rsid w:val="00B905D2"/>
    <w:rsid w:val="00B910B1"/>
    <w:rsid w:val="00B91988"/>
    <w:rsid w:val="00B9293C"/>
    <w:rsid w:val="00B93074"/>
    <w:rsid w:val="00B934D2"/>
    <w:rsid w:val="00B93F6D"/>
    <w:rsid w:val="00B94815"/>
    <w:rsid w:val="00B94E9B"/>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59DD"/>
    <w:rsid w:val="00BA6992"/>
    <w:rsid w:val="00BB07A1"/>
    <w:rsid w:val="00BB0ACE"/>
    <w:rsid w:val="00BB0D13"/>
    <w:rsid w:val="00BB1AA6"/>
    <w:rsid w:val="00BB2AAF"/>
    <w:rsid w:val="00BB32F3"/>
    <w:rsid w:val="00BB45A2"/>
    <w:rsid w:val="00BB4AAB"/>
    <w:rsid w:val="00BB54E7"/>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92E"/>
    <w:rsid w:val="00BD1AD5"/>
    <w:rsid w:val="00BD26F5"/>
    <w:rsid w:val="00BD2E91"/>
    <w:rsid w:val="00BD3B5B"/>
    <w:rsid w:val="00BD516D"/>
    <w:rsid w:val="00BD528E"/>
    <w:rsid w:val="00BD55C7"/>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3AB4"/>
    <w:rsid w:val="00BF4187"/>
    <w:rsid w:val="00BF45F7"/>
    <w:rsid w:val="00BF4652"/>
    <w:rsid w:val="00BF5B8F"/>
    <w:rsid w:val="00BF5EAB"/>
    <w:rsid w:val="00BF7CAB"/>
    <w:rsid w:val="00BF7D80"/>
    <w:rsid w:val="00C0025D"/>
    <w:rsid w:val="00C00467"/>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043"/>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2917"/>
    <w:rsid w:val="00C332B5"/>
    <w:rsid w:val="00C334F4"/>
    <w:rsid w:val="00C3392D"/>
    <w:rsid w:val="00C3396A"/>
    <w:rsid w:val="00C33ED6"/>
    <w:rsid w:val="00C3454D"/>
    <w:rsid w:val="00C3681D"/>
    <w:rsid w:val="00C369E6"/>
    <w:rsid w:val="00C36C23"/>
    <w:rsid w:val="00C375EA"/>
    <w:rsid w:val="00C408F8"/>
    <w:rsid w:val="00C40904"/>
    <w:rsid w:val="00C410ED"/>
    <w:rsid w:val="00C4141E"/>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4AB"/>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574"/>
    <w:rsid w:val="00C83769"/>
    <w:rsid w:val="00C83D00"/>
    <w:rsid w:val="00C8421D"/>
    <w:rsid w:val="00C843AF"/>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75A"/>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48C"/>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4EC7"/>
    <w:rsid w:val="00CF6299"/>
    <w:rsid w:val="00CF63C0"/>
    <w:rsid w:val="00CF69A7"/>
    <w:rsid w:val="00CF6F94"/>
    <w:rsid w:val="00CF723B"/>
    <w:rsid w:val="00D001D3"/>
    <w:rsid w:val="00D00430"/>
    <w:rsid w:val="00D018D5"/>
    <w:rsid w:val="00D020C1"/>
    <w:rsid w:val="00D02CFA"/>
    <w:rsid w:val="00D031B8"/>
    <w:rsid w:val="00D03701"/>
    <w:rsid w:val="00D03ABE"/>
    <w:rsid w:val="00D03DFD"/>
    <w:rsid w:val="00D0432D"/>
    <w:rsid w:val="00D04712"/>
    <w:rsid w:val="00D0481B"/>
    <w:rsid w:val="00D04D78"/>
    <w:rsid w:val="00D055F1"/>
    <w:rsid w:val="00D06052"/>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1F29"/>
    <w:rsid w:val="00D228F8"/>
    <w:rsid w:val="00D22E02"/>
    <w:rsid w:val="00D2417D"/>
    <w:rsid w:val="00D24498"/>
    <w:rsid w:val="00D24615"/>
    <w:rsid w:val="00D24F15"/>
    <w:rsid w:val="00D25CBC"/>
    <w:rsid w:val="00D2679D"/>
    <w:rsid w:val="00D26F6F"/>
    <w:rsid w:val="00D27467"/>
    <w:rsid w:val="00D300B3"/>
    <w:rsid w:val="00D30AF1"/>
    <w:rsid w:val="00D30F33"/>
    <w:rsid w:val="00D31457"/>
    <w:rsid w:val="00D31AB5"/>
    <w:rsid w:val="00D31E59"/>
    <w:rsid w:val="00D32975"/>
    <w:rsid w:val="00D34C54"/>
    <w:rsid w:val="00D34E49"/>
    <w:rsid w:val="00D3555C"/>
    <w:rsid w:val="00D3572A"/>
    <w:rsid w:val="00D35DEE"/>
    <w:rsid w:val="00D37150"/>
    <w:rsid w:val="00D37C0C"/>
    <w:rsid w:val="00D37FA9"/>
    <w:rsid w:val="00D40767"/>
    <w:rsid w:val="00D409A1"/>
    <w:rsid w:val="00D41EAD"/>
    <w:rsid w:val="00D42148"/>
    <w:rsid w:val="00D427E5"/>
    <w:rsid w:val="00D427E8"/>
    <w:rsid w:val="00D43B22"/>
    <w:rsid w:val="00D44066"/>
    <w:rsid w:val="00D449C5"/>
    <w:rsid w:val="00D44E6F"/>
    <w:rsid w:val="00D44E98"/>
    <w:rsid w:val="00D453E5"/>
    <w:rsid w:val="00D45F98"/>
    <w:rsid w:val="00D4643F"/>
    <w:rsid w:val="00D4696A"/>
    <w:rsid w:val="00D4753F"/>
    <w:rsid w:val="00D475FE"/>
    <w:rsid w:val="00D50738"/>
    <w:rsid w:val="00D5103B"/>
    <w:rsid w:val="00D52AE0"/>
    <w:rsid w:val="00D53EE6"/>
    <w:rsid w:val="00D542B8"/>
    <w:rsid w:val="00D558DA"/>
    <w:rsid w:val="00D57298"/>
    <w:rsid w:val="00D57F7D"/>
    <w:rsid w:val="00D60294"/>
    <w:rsid w:val="00D60DDD"/>
    <w:rsid w:val="00D60F1D"/>
    <w:rsid w:val="00D614DB"/>
    <w:rsid w:val="00D62A08"/>
    <w:rsid w:val="00D62BE4"/>
    <w:rsid w:val="00D62DBA"/>
    <w:rsid w:val="00D63102"/>
    <w:rsid w:val="00D647C5"/>
    <w:rsid w:val="00D64954"/>
    <w:rsid w:val="00D6512E"/>
    <w:rsid w:val="00D651D5"/>
    <w:rsid w:val="00D66260"/>
    <w:rsid w:val="00D6658E"/>
    <w:rsid w:val="00D70630"/>
    <w:rsid w:val="00D708DA"/>
    <w:rsid w:val="00D70C7E"/>
    <w:rsid w:val="00D71B7C"/>
    <w:rsid w:val="00D71E9A"/>
    <w:rsid w:val="00D731C8"/>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761"/>
    <w:rsid w:val="00DA4947"/>
    <w:rsid w:val="00DA5777"/>
    <w:rsid w:val="00DA65FF"/>
    <w:rsid w:val="00DA662F"/>
    <w:rsid w:val="00DA6A6C"/>
    <w:rsid w:val="00DA71D7"/>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B52"/>
    <w:rsid w:val="00DD1D55"/>
    <w:rsid w:val="00DD1EE7"/>
    <w:rsid w:val="00DD2119"/>
    <w:rsid w:val="00DD311B"/>
    <w:rsid w:val="00DD4294"/>
    <w:rsid w:val="00DD5B46"/>
    <w:rsid w:val="00DD6165"/>
    <w:rsid w:val="00DD6663"/>
    <w:rsid w:val="00DD6EB8"/>
    <w:rsid w:val="00DD7917"/>
    <w:rsid w:val="00DE01CB"/>
    <w:rsid w:val="00DE0E25"/>
    <w:rsid w:val="00DE189A"/>
    <w:rsid w:val="00DE328D"/>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5C66"/>
    <w:rsid w:val="00DF64D2"/>
    <w:rsid w:val="00DF6698"/>
    <w:rsid w:val="00DF77C4"/>
    <w:rsid w:val="00E00BB6"/>
    <w:rsid w:val="00E00F69"/>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02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53E"/>
    <w:rsid w:val="00E3369B"/>
    <w:rsid w:val="00E3423F"/>
    <w:rsid w:val="00E34CDC"/>
    <w:rsid w:val="00E34D8D"/>
    <w:rsid w:val="00E368B4"/>
    <w:rsid w:val="00E37592"/>
    <w:rsid w:val="00E37FDF"/>
    <w:rsid w:val="00E4039F"/>
    <w:rsid w:val="00E415ED"/>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6D"/>
    <w:rsid w:val="00E539AB"/>
    <w:rsid w:val="00E54407"/>
    <w:rsid w:val="00E55520"/>
    <w:rsid w:val="00E56E48"/>
    <w:rsid w:val="00E5784B"/>
    <w:rsid w:val="00E57C92"/>
    <w:rsid w:val="00E57D33"/>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19B"/>
    <w:rsid w:val="00E81924"/>
    <w:rsid w:val="00E81EE2"/>
    <w:rsid w:val="00E82126"/>
    <w:rsid w:val="00E82CA4"/>
    <w:rsid w:val="00E82D58"/>
    <w:rsid w:val="00E84077"/>
    <w:rsid w:val="00E84FF9"/>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0B26"/>
    <w:rsid w:val="00EB1354"/>
    <w:rsid w:val="00EB2BB1"/>
    <w:rsid w:val="00EB2F6F"/>
    <w:rsid w:val="00EB381C"/>
    <w:rsid w:val="00EB3D43"/>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1C49"/>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40"/>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4FB2"/>
    <w:rsid w:val="00F15AA8"/>
    <w:rsid w:val="00F1643E"/>
    <w:rsid w:val="00F178A0"/>
    <w:rsid w:val="00F20899"/>
    <w:rsid w:val="00F20E73"/>
    <w:rsid w:val="00F21D64"/>
    <w:rsid w:val="00F22006"/>
    <w:rsid w:val="00F2262B"/>
    <w:rsid w:val="00F22D09"/>
    <w:rsid w:val="00F2466D"/>
    <w:rsid w:val="00F24AC2"/>
    <w:rsid w:val="00F24DD0"/>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0F3D"/>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91B"/>
    <w:rsid w:val="00F55CF9"/>
    <w:rsid w:val="00F563DA"/>
    <w:rsid w:val="00F571EB"/>
    <w:rsid w:val="00F607CC"/>
    <w:rsid w:val="00F61A89"/>
    <w:rsid w:val="00F627C0"/>
    <w:rsid w:val="00F63955"/>
    <w:rsid w:val="00F64287"/>
    <w:rsid w:val="00F651BC"/>
    <w:rsid w:val="00F66714"/>
    <w:rsid w:val="00F67355"/>
    <w:rsid w:val="00F6768C"/>
    <w:rsid w:val="00F67CCA"/>
    <w:rsid w:val="00F67FA4"/>
    <w:rsid w:val="00F702B4"/>
    <w:rsid w:val="00F703BF"/>
    <w:rsid w:val="00F70415"/>
    <w:rsid w:val="00F7071C"/>
    <w:rsid w:val="00F70AC4"/>
    <w:rsid w:val="00F70B2D"/>
    <w:rsid w:val="00F70B9C"/>
    <w:rsid w:val="00F71605"/>
    <w:rsid w:val="00F719E6"/>
    <w:rsid w:val="00F72C4B"/>
    <w:rsid w:val="00F73BE0"/>
    <w:rsid w:val="00F74CF3"/>
    <w:rsid w:val="00F74E2A"/>
    <w:rsid w:val="00F754D5"/>
    <w:rsid w:val="00F75864"/>
    <w:rsid w:val="00F765B8"/>
    <w:rsid w:val="00F7673F"/>
    <w:rsid w:val="00F76753"/>
    <w:rsid w:val="00F77D8B"/>
    <w:rsid w:val="00F80505"/>
    <w:rsid w:val="00F807FB"/>
    <w:rsid w:val="00F80C9C"/>
    <w:rsid w:val="00F80E12"/>
    <w:rsid w:val="00F81858"/>
    <w:rsid w:val="00F81A0B"/>
    <w:rsid w:val="00F81F86"/>
    <w:rsid w:val="00F825BA"/>
    <w:rsid w:val="00F82625"/>
    <w:rsid w:val="00F829C9"/>
    <w:rsid w:val="00F82A50"/>
    <w:rsid w:val="00F83228"/>
    <w:rsid w:val="00F83692"/>
    <w:rsid w:val="00F83727"/>
    <w:rsid w:val="00F83A6A"/>
    <w:rsid w:val="00F83F88"/>
    <w:rsid w:val="00F845CB"/>
    <w:rsid w:val="00F84A2C"/>
    <w:rsid w:val="00F84A82"/>
    <w:rsid w:val="00F84DDE"/>
    <w:rsid w:val="00F85027"/>
    <w:rsid w:val="00F857BB"/>
    <w:rsid w:val="00F85A5B"/>
    <w:rsid w:val="00F860F5"/>
    <w:rsid w:val="00F86456"/>
    <w:rsid w:val="00F8685E"/>
    <w:rsid w:val="00F86861"/>
    <w:rsid w:val="00F872DC"/>
    <w:rsid w:val="00F9062E"/>
    <w:rsid w:val="00F90A32"/>
    <w:rsid w:val="00F90BF8"/>
    <w:rsid w:val="00F939F8"/>
    <w:rsid w:val="00F95744"/>
    <w:rsid w:val="00F95AA3"/>
    <w:rsid w:val="00F95FEA"/>
    <w:rsid w:val="00F96996"/>
    <w:rsid w:val="00F969F9"/>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E20"/>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6"/>
    <w:rsid w:val="00FD66D7"/>
    <w:rsid w:val="00FE08AC"/>
    <w:rsid w:val="00FE122D"/>
    <w:rsid w:val="00FE164A"/>
    <w:rsid w:val="00FE1B3A"/>
    <w:rsid w:val="00FE27FA"/>
    <w:rsid w:val="00FE2991"/>
    <w:rsid w:val="00FE3AA6"/>
    <w:rsid w:val="00FE3F4C"/>
    <w:rsid w:val="00FE3F69"/>
    <w:rsid w:val="00FE403B"/>
    <w:rsid w:val="00FE4661"/>
    <w:rsid w:val="00FE47B0"/>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 w:type="character" w:customStyle="1" w:styleId="cf01">
    <w:name w:val="cf01"/>
    <w:basedOn w:val="DefaultParagraphFont"/>
    <w:rsid w:val="00437F97"/>
    <w:rPr>
      <w:rFonts w:ascii="Segoe UI" w:hAnsi="Segoe UI" w:cs="Segoe UI" w:hint="default"/>
      <w:b/>
      <w:bCs/>
      <w:color w:val="172B4D"/>
      <w:sz w:val="18"/>
      <w:szCs w:val="18"/>
      <w:shd w:val="clear" w:color="auto" w:fill="FFFFFF"/>
    </w:rPr>
  </w:style>
  <w:style w:type="character" w:customStyle="1" w:styleId="cf21">
    <w:name w:val="cf21"/>
    <w:basedOn w:val="DefaultParagraphFont"/>
    <w:rsid w:val="00437F97"/>
    <w:rPr>
      <w:rFonts w:ascii="Segoe UI" w:hAnsi="Segoe UI" w:cs="Segoe UI" w:hint="default"/>
      <w:b/>
      <w:bCs/>
      <w:color w:val="172B4D"/>
      <w:sz w:val="18"/>
      <w:szCs w:val="18"/>
      <w:shd w:val="clear" w:color="auto" w:fill="FFFFFF"/>
    </w:rPr>
  </w:style>
  <w:style w:type="character" w:customStyle="1" w:styleId="ui-provider">
    <w:name w:val="ui-provider"/>
    <w:basedOn w:val="DefaultParagraphFont"/>
    <w:rsid w:val="00B93074"/>
  </w:style>
  <w:style w:type="character" w:customStyle="1" w:styleId="normaltextrun">
    <w:name w:val="normaltextrun"/>
    <w:basedOn w:val="DefaultParagraphFont"/>
    <w:rsid w:val="00D2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16475403">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about/inits/ed/edfacts/index.html" TargetMode="External"/><Relationship Id="rId17" Type="http://schemas.openxmlformats.org/officeDocument/2006/relationships/hyperlink" Target="https://sites.ed.gov/idea/how-the-department-made-determinations/" TargetMode="External"/><Relationship Id="rId2" Type="http://schemas.openxmlformats.org/officeDocument/2006/relationships/customXml" Target="../customXml/item2.xml"/><Relationship Id="rId16" Type="http://schemas.openxmlformats.org/officeDocument/2006/relationships/hyperlink" Target="https://emaps.ed.gov/su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files/2024_Part-C_SPP-APR_Measurement_Table.pdf" TargetMode="External"/><Relationship Id="rId5" Type="http://schemas.openxmlformats.org/officeDocument/2006/relationships/numbering" Target="numbering.xml"/><Relationship Id="rId15" Type="http://schemas.openxmlformats.org/officeDocument/2006/relationships/hyperlink" Target="https://sites.ed.gov/idea/how-the-department-made-determination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031DA-E3A9-4F53-A283-C5DB7E81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16</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State Determinations</dc:title>
  <dc:creator>Sarah O'Grady</dc:creator>
  <cp:lastModifiedBy>Odean-Carlin, Kodi</cp:lastModifiedBy>
  <cp:revision>4</cp:revision>
  <cp:lastPrinted>2014-08-19T16:56:00Z</cp:lastPrinted>
  <dcterms:created xsi:type="dcterms:W3CDTF">2024-06-20T23:39:00Z</dcterms:created>
  <dcterms:modified xsi:type="dcterms:W3CDTF">2024-06-21T09:47:00Z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