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1B47A" w14:textId="77777777" w:rsidR="001577B0" w:rsidRDefault="00B947FC" w:rsidP="00B947FC">
      <w:pPr>
        <w:rPr>
          <w:b/>
          <w:bCs/>
          <w:sz w:val="16"/>
          <w:szCs w:val="16"/>
        </w:rPr>
      </w:pPr>
      <w:r>
        <w:rPr>
          <w:noProof/>
        </w:rPr>
        <w:drawing>
          <wp:anchor distT="0" distB="0" distL="114300" distR="114300" simplePos="0" relativeHeight="251658240" behindDoc="1" locked="0" layoutInCell="1" allowOverlap="1" wp14:anchorId="5C4CD41B" wp14:editId="43A399AA">
            <wp:simplePos x="0" y="0"/>
            <wp:positionH relativeFrom="margin">
              <wp:align>left</wp:align>
            </wp:positionH>
            <wp:positionV relativeFrom="paragraph">
              <wp:posOffset>9351</wp:posOffset>
            </wp:positionV>
            <wp:extent cx="2151380" cy="457200"/>
            <wp:effectExtent l="0" t="0" r="1270" b="0"/>
            <wp:wrapTight wrapText="bothSides">
              <wp:wrapPolygon edited="0">
                <wp:start x="0" y="0"/>
                <wp:lineTo x="0" y="13500"/>
                <wp:lineTo x="191" y="20700"/>
                <wp:lineTo x="9372" y="20700"/>
                <wp:lineTo x="21421" y="19800"/>
                <wp:lineTo x="21421" y="9900"/>
                <wp:lineTo x="956" y="0"/>
                <wp:lineTo x="0" y="0"/>
              </wp:wrapPolygon>
            </wp:wrapTight>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51380" cy="457200"/>
                    </a:xfrm>
                    <a:prstGeom prst="rect">
                      <a:avLst/>
                    </a:prstGeom>
                  </pic:spPr>
                </pic:pic>
              </a:graphicData>
            </a:graphic>
            <wp14:sizeRelH relativeFrom="page">
              <wp14:pctWidth>0</wp14:pctWidth>
            </wp14:sizeRelH>
            <wp14:sizeRelV relativeFrom="page">
              <wp14:pctHeight>0</wp14:pctHeight>
            </wp14:sizeRelV>
          </wp:anchor>
        </w:drawing>
      </w:r>
    </w:p>
    <w:p w14:paraId="4382EAAD" w14:textId="24E55EE6" w:rsidR="00D646B5" w:rsidRDefault="00D646B5" w:rsidP="001577B0">
      <w:pPr>
        <w:jc w:val="right"/>
        <w:rPr>
          <w:b/>
          <w:bCs/>
          <w:sz w:val="32"/>
          <w:szCs w:val="32"/>
        </w:rPr>
      </w:pPr>
      <w:r w:rsidRPr="00D646B5">
        <w:rPr>
          <w:b/>
          <w:bCs/>
          <w:sz w:val="32"/>
          <w:szCs w:val="32"/>
        </w:rPr>
        <w:t>Perkins Performance Indicator Improvement Policy</w:t>
      </w:r>
    </w:p>
    <w:p w14:paraId="0E766857" w14:textId="77777777" w:rsidR="001577B0" w:rsidRPr="00B947FC" w:rsidRDefault="001577B0" w:rsidP="00B947FC"/>
    <w:p w14:paraId="744B4A8F" w14:textId="7E3D0564" w:rsidR="005E71E1" w:rsidRDefault="008940E1">
      <w:r>
        <w:t xml:space="preserve">Federal Perkins law requires that entities which do not meet at least 90% of </w:t>
      </w:r>
      <w:r w:rsidR="005E71E1">
        <w:t xml:space="preserve">the </w:t>
      </w:r>
      <w:r>
        <w:t xml:space="preserve">Perkins </w:t>
      </w:r>
      <w:r w:rsidR="005E71E1">
        <w:t>Performance Expectation</w:t>
      </w:r>
      <w:r>
        <w:t xml:space="preserve"> review </w:t>
      </w:r>
      <w:r w:rsidR="005E71E1">
        <w:t xml:space="preserve">the program and identify efforts to make improvements.  </w:t>
      </w:r>
    </w:p>
    <w:p w14:paraId="2BB95029" w14:textId="349F5A4E" w:rsidR="005E71E1" w:rsidRDefault="005E71E1">
      <w:r>
        <w:t xml:space="preserve">The Perkins Performance Expectations have been identified below: </w:t>
      </w:r>
    </w:p>
    <w:tbl>
      <w:tblPr>
        <w:tblStyle w:val="TableGrid"/>
        <w:tblW w:w="0" w:type="auto"/>
        <w:tblLook w:val="04A0" w:firstRow="1" w:lastRow="0" w:firstColumn="1" w:lastColumn="0" w:noHBand="0" w:noVBand="1"/>
      </w:tblPr>
      <w:tblGrid>
        <w:gridCol w:w="2245"/>
        <w:gridCol w:w="8545"/>
      </w:tblGrid>
      <w:tr w:rsidR="002E69E3" w14:paraId="5F82CF3C" w14:textId="77777777" w:rsidTr="006D7254">
        <w:tc>
          <w:tcPr>
            <w:tcW w:w="2245" w:type="dxa"/>
          </w:tcPr>
          <w:p w14:paraId="44B6E0DC" w14:textId="6914F13F" w:rsidR="002E69E3" w:rsidRPr="007F15DC" w:rsidRDefault="002E69E3">
            <w:pPr>
              <w:rPr>
                <w:b/>
                <w:bCs/>
              </w:rPr>
            </w:pPr>
            <w:r w:rsidRPr="007F15DC">
              <w:rPr>
                <w:b/>
                <w:bCs/>
              </w:rPr>
              <w:t>E</w:t>
            </w:r>
            <w:r w:rsidR="006D7254" w:rsidRPr="007F15DC">
              <w:rPr>
                <w:b/>
                <w:bCs/>
              </w:rPr>
              <w:t>nglish Language Arts</w:t>
            </w:r>
          </w:p>
        </w:tc>
        <w:tc>
          <w:tcPr>
            <w:tcW w:w="8545" w:type="dxa"/>
          </w:tcPr>
          <w:p w14:paraId="36DD368F" w14:textId="5EB82DC2" w:rsidR="002E69E3" w:rsidRDefault="00EF4B51">
            <w:r>
              <w:t xml:space="preserve">% </w:t>
            </w:r>
            <w:r w:rsidR="00EF1559">
              <w:t>Of</w:t>
            </w:r>
            <w:r>
              <w:t xml:space="preserve"> concentrators who took the 11th grade state ELA assessment in the data year scored at a Level 3 or a Level 4, which is considered proficient or advanced.</w:t>
            </w:r>
          </w:p>
        </w:tc>
      </w:tr>
      <w:tr w:rsidR="002E69E3" w14:paraId="74053B83" w14:textId="77777777" w:rsidTr="006D7254">
        <w:tc>
          <w:tcPr>
            <w:tcW w:w="2245" w:type="dxa"/>
          </w:tcPr>
          <w:p w14:paraId="38550EFC" w14:textId="62091881" w:rsidR="002E69E3" w:rsidRPr="007F15DC" w:rsidRDefault="002E69E3">
            <w:pPr>
              <w:rPr>
                <w:b/>
                <w:bCs/>
              </w:rPr>
            </w:pPr>
            <w:r w:rsidRPr="007F15DC">
              <w:rPr>
                <w:b/>
                <w:bCs/>
              </w:rPr>
              <w:t>Math</w:t>
            </w:r>
          </w:p>
        </w:tc>
        <w:tc>
          <w:tcPr>
            <w:tcW w:w="8545" w:type="dxa"/>
          </w:tcPr>
          <w:p w14:paraId="322C9963" w14:textId="21D050D1" w:rsidR="002E69E3" w:rsidRDefault="00EF4B51">
            <w:r>
              <w:t xml:space="preserve">% </w:t>
            </w:r>
            <w:r w:rsidR="00EF1559">
              <w:t>Of</w:t>
            </w:r>
            <w:r>
              <w:t xml:space="preserve"> concentrators who took the 11th grade state Math assessment in the data year scored at a Level 3 or a Level 4, which is considered proficient </w:t>
            </w:r>
            <w:r w:rsidR="00E01850">
              <w:t xml:space="preserve">or advanced. </w:t>
            </w:r>
          </w:p>
        </w:tc>
      </w:tr>
      <w:tr w:rsidR="002E69E3" w14:paraId="7CE16A38" w14:textId="77777777" w:rsidTr="006D7254">
        <w:tc>
          <w:tcPr>
            <w:tcW w:w="2245" w:type="dxa"/>
          </w:tcPr>
          <w:p w14:paraId="07C8F48C" w14:textId="2C0A529B" w:rsidR="002E69E3" w:rsidRPr="007F15DC" w:rsidRDefault="002E69E3">
            <w:pPr>
              <w:rPr>
                <w:b/>
                <w:bCs/>
              </w:rPr>
            </w:pPr>
            <w:r w:rsidRPr="007F15DC">
              <w:rPr>
                <w:b/>
                <w:bCs/>
              </w:rPr>
              <w:t>Science</w:t>
            </w:r>
          </w:p>
        </w:tc>
        <w:tc>
          <w:tcPr>
            <w:tcW w:w="8545" w:type="dxa"/>
          </w:tcPr>
          <w:p w14:paraId="435A5E53" w14:textId="0EA9F1BA" w:rsidR="002E69E3" w:rsidRDefault="00340511">
            <w:r>
              <w:t xml:space="preserve">% </w:t>
            </w:r>
            <w:r w:rsidR="00EF1559">
              <w:t>Of</w:t>
            </w:r>
            <w:r>
              <w:t xml:space="preserve"> concentrators who took the 11th grade state Science assessment in the data year scored at a Level 3 or a Level 4, which is considered proficient or advanced.</w:t>
            </w:r>
          </w:p>
        </w:tc>
      </w:tr>
      <w:tr w:rsidR="002E69E3" w14:paraId="1E7B9BE5" w14:textId="77777777" w:rsidTr="006D7254">
        <w:tc>
          <w:tcPr>
            <w:tcW w:w="2245" w:type="dxa"/>
          </w:tcPr>
          <w:p w14:paraId="6EB4DEE7" w14:textId="15E341CE" w:rsidR="002E69E3" w:rsidRPr="007F15DC" w:rsidRDefault="002E69E3">
            <w:pPr>
              <w:rPr>
                <w:b/>
                <w:bCs/>
              </w:rPr>
            </w:pPr>
            <w:r w:rsidRPr="007F15DC">
              <w:rPr>
                <w:b/>
                <w:bCs/>
              </w:rPr>
              <w:t>On-Time Graduation</w:t>
            </w:r>
          </w:p>
        </w:tc>
        <w:tc>
          <w:tcPr>
            <w:tcW w:w="8545" w:type="dxa"/>
          </w:tcPr>
          <w:p w14:paraId="2BD827CD" w14:textId="46E54A72" w:rsidR="002E69E3" w:rsidRDefault="001676ED">
            <w:r>
              <w:t xml:space="preserve">% </w:t>
            </w:r>
            <w:r w:rsidR="00EF1559">
              <w:t>Of</w:t>
            </w:r>
            <w:r>
              <w:t xml:space="preserve"> concentrators graduated on-time or within the traditional 4 years expected to complete high school.</w:t>
            </w:r>
          </w:p>
        </w:tc>
      </w:tr>
      <w:tr w:rsidR="002E69E3" w14:paraId="247AB3BB" w14:textId="77777777" w:rsidTr="006D7254">
        <w:tc>
          <w:tcPr>
            <w:tcW w:w="2245" w:type="dxa"/>
          </w:tcPr>
          <w:p w14:paraId="0718716B" w14:textId="68099300" w:rsidR="002E69E3" w:rsidRPr="007F15DC" w:rsidRDefault="002E69E3">
            <w:pPr>
              <w:rPr>
                <w:b/>
                <w:bCs/>
              </w:rPr>
            </w:pPr>
            <w:r w:rsidRPr="007F15DC">
              <w:rPr>
                <w:b/>
                <w:bCs/>
              </w:rPr>
              <w:t>Non</w:t>
            </w:r>
            <w:r w:rsidR="005A60D6" w:rsidRPr="007F15DC">
              <w:rPr>
                <w:b/>
                <w:bCs/>
              </w:rPr>
              <w:t>-</w:t>
            </w:r>
            <w:r w:rsidRPr="007F15DC">
              <w:rPr>
                <w:b/>
                <w:bCs/>
              </w:rPr>
              <w:t xml:space="preserve">Traditional </w:t>
            </w:r>
            <w:r w:rsidR="00054850" w:rsidRPr="007F15DC">
              <w:rPr>
                <w:b/>
                <w:bCs/>
              </w:rPr>
              <w:t>Concentrators</w:t>
            </w:r>
          </w:p>
        </w:tc>
        <w:tc>
          <w:tcPr>
            <w:tcW w:w="8545" w:type="dxa"/>
          </w:tcPr>
          <w:p w14:paraId="4FC3C573" w14:textId="0FD4285F" w:rsidR="002E69E3" w:rsidRDefault="00E25EE3">
            <w:r>
              <w:t xml:space="preserve">% </w:t>
            </w:r>
            <w:r w:rsidR="00EF1559">
              <w:t>Of</w:t>
            </w:r>
            <w:r w:rsidR="008A19C0">
              <w:t xml:space="preserve"> concentrators in career clusters in which their gender is significantly less common in the workforce.</w:t>
            </w:r>
          </w:p>
        </w:tc>
      </w:tr>
      <w:tr w:rsidR="002E69E3" w14:paraId="5C22C02B" w14:textId="77777777" w:rsidTr="006D7254">
        <w:tc>
          <w:tcPr>
            <w:tcW w:w="2245" w:type="dxa"/>
          </w:tcPr>
          <w:p w14:paraId="124DD671" w14:textId="68C8EBF3" w:rsidR="002E69E3" w:rsidRPr="007F15DC" w:rsidRDefault="00054850">
            <w:pPr>
              <w:rPr>
                <w:b/>
                <w:bCs/>
              </w:rPr>
            </w:pPr>
            <w:r w:rsidRPr="007F15DC">
              <w:rPr>
                <w:b/>
                <w:bCs/>
              </w:rPr>
              <w:t>Placement</w:t>
            </w:r>
          </w:p>
        </w:tc>
        <w:tc>
          <w:tcPr>
            <w:tcW w:w="8545" w:type="dxa"/>
          </w:tcPr>
          <w:p w14:paraId="4F2867CB" w14:textId="2F944CEC" w:rsidR="002E69E3" w:rsidRDefault="00E25EE3">
            <w:r>
              <w:t>T</w:t>
            </w:r>
            <w:r w:rsidR="00CF0107">
              <w:t xml:space="preserve">he rate at which the entity provided placement date.  Placement data </w:t>
            </w:r>
            <w:r>
              <w:t>reports</w:t>
            </w:r>
            <w:r w:rsidR="00CF0107">
              <w:t xml:space="preserve"> concentrators’ plans following high school.</w:t>
            </w:r>
          </w:p>
        </w:tc>
      </w:tr>
      <w:tr w:rsidR="00054850" w14:paraId="3CE74554" w14:textId="77777777" w:rsidTr="006D7254">
        <w:tc>
          <w:tcPr>
            <w:tcW w:w="2245" w:type="dxa"/>
          </w:tcPr>
          <w:p w14:paraId="1901468B" w14:textId="0DFB28F5" w:rsidR="00054850" w:rsidRPr="007F15DC" w:rsidRDefault="00054850">
            <w:pPr>
              <w:rPr>
                <w:b/>
                <w:bCs/>
              </w:rPr>
            </w:pPr>
            <w:r w:rsidRPr="007F15DC">
              <w:rPr>
                <w:b/>
                <w:bCs/>
              </w:rPr>
              <w:t>Work Based Learning</w:t>
            </w:r>
          </w:p>
        </w:tc>
        <w:tc>
          <w:tcPr>
            <w:tcW w:w="8545" w:type="dxa"/>
          </w:tcPr>
          <w:p w14:paraId="60FBF4B2" w14:textId="310B40BD" w:rsidR="00054850" w:rsidRDefault="00E25EE3">
            <w:r>
              <w:t>Concentrators who earned credit in a formal work-based learning course during their high school experience</w:t>
            </w:r>
          </w:p>
        </w:tc>
      </w:tr>
    </w:tbl>
    <w:p w14:paraId="60581FA0" w14:textId="2FBC9FF9" w:rsidR="005E71E1" w:rsidRDefault="005E71E1"/>
    <w:p w14:paraId="55FAB2A9" w14:textId="1BFFC45F" w:rsidR="005E71E1" w:rsidRDefault="007F15DC">
      <w:r>
        <w:t xml:space="preserve">A deeper explanation of each indicator including performance expectations per year may be found </w:t>
      </w:r>
      <w:hyperlink r:id="rId6" w:history="1">
        <w:r w:rsidRPr="007F15DC">
          <w:rPr>
            <w:rStyle w:val="Hyperlink"/>
          </w:rPr>
          <w:t>here</w:t>
        </w:r>
      </w:hyperlink>
      <w:r>
        <w:t>.</w:t>
      </w:r>
    </w:p>
    <w:p w14:paraId="4A3AD8BC" w14:textId="34A45B16" w:rsidR="008940E1" w:rsidRDefault="005E71E1">
      <w:r>
        <w:t xml:space="preserve">When these levels are not attained by entities, this triggers support from the SD Department of Education’s CTE office.  The goal of this support is to come alongside the entity to best serve students within these programs.  The support is not from a lens of monitoring or judgement but from a posture of reviewing challenges, identifying </w:t>
      </w:r>
      <w:r w:rsidR="002D6A2D">
        <w:t xml:space="preserve">realistic next </w:t>
      </w:r>
      <w:r w:rsidR="00EF1559">
        <w:t>steps,</w:t>
      </w:r>
      <w:r w:rsidR="002D6A2D">
        <w:t xml:space="preserve"> and implementing workable solutions for the benefit of students while ensuring </w:t>
      </w:r>
      <w:r w:rsidR="00EF1559">
        <w:t>Perkins</w:t>
      </w:r>
      <w:r w:rsidR="002D6A2D">
        <w:t xml:space="preserve"> grant requirements are met.  </w:t>
      </w:r>
    </w:p>
    <w:tbl>
      <w:tblPr>
        <w:tblStyle w:val="TableGrid1"/>
        <w:tblpPr w:leftFromText="180" w:rightFromText="180" w:vertAnchor="text" w:horzAnchor="margin" w:tblpX="226" w:tblpY="155"/>
        <w:tblW w:w="10885" w:type="dxa"/>
        <w:tblLook w:val="04A0" w:firstRow="1" w:lastRow="0" w:firstColumn="1" w:lastColumn="0" w:noHBand="0" w:noVBand="1"/>
      </w:tblPr>
      <w:tblGrid>
        <w:gridCol w:w="759"/>
        <w:gridCol w:w="226"/>
        <w:gridCol w:w="9900"/>
      </w:tblGrid>
      <w:tr w:rsidR="008940E1" w:rsidRPr="008940E1" w14:paraId="080D0C06" w14:textId="77777777" w:rsidTr="00FB0532">
        <w:tc>
          <w:tcPr>
            <w:tcW w:w="10885" w:type="dxa"/>
            <w:gridSpan w:val="3"/>
            <w:shd w:val="clear" w:color="auto" w:fill="000000" w:themeFill="text1"/>
          </w:tcPr>
          <w:p w14:paraId="2B3E1735" w14:textId="77777777" w:rsidR="008940E1" w:rsidRPr="008940E1" w:rsidRDefault="008940E1" w:rsidP="00FB0532">
            <w:pPr>
              <w:ind w:left="720"/>
              <w:textAlignment w:val="baseline"/>
              <w:rPr>
                <w:rFonts w:ascii="Calibri" w:eastAsia="Times New Roman" w:hAnsi="Calibri" w:cs="Calibri"/>
                <w:b/>
                <w:bCs/>
                <w:sz w:val="28"/>
                <w:szCs w:val="28"/>
              </w:rPr>
            </w:pPr>
            <w:r w:rsidRPr="008940E1">
              <w:rPr>
                <w:rFonts w:ascii="Calibri" w:eastAsia="Times New Roman" w:hAnsi="Calibri" w:cs="Calibri"/>
                <w:b/>
                <w:bCs/>
                <w:sz w:val="28"/>
                <w:szCs w:val="28"/>
              </w:rPr>
              <w:t>Concentrator Performance on ELA, Math, Science and On-Time Graduation</w:t>
            </w:r>
          </w:p>
        </w:tc>
      </w:tr>
      <w:tr w:rsidR="008940E1" w:rsidRPr="008940E1" w14:paraId="79154FAB" w14:textId="77777777" w:rsidTr="00FB0532">
        <w:tc>
          <w:tcPr>
            <w:tcW w:w="985" w:type="dxa"/>
            <w:gridSpan w:val="2"/>
            <w:shd w:val="clear" w:color="auto" w:fill="auto"/>
          </w:tcPr>
          <w:p w14:paraId="2852FC78" w14:textId="77777777" w:rsidR="00D646B5" w:rsidRDefault="008940E1" w:rsidP="00FB0532">
            <w:pPr>
              <w:rPr>
                <w:rFonts w:ascii="Calibri" w:eastAsia="Times New Roman" w:hAnsi="Calibri" w:cs="Calibri"/>
                <w:b/>
                <w:bCs/>
              </w:rPr>
            </w:pPr>
            <w:r w:rsidRPr="008940E1">
              <w:rPr>
                <w:rFonts w:ascii="Calibri" w:eastAsia="Times New Roman" w:hAnsi="Calibri" w:cs="Calibri"/>
                <w:b/>
                <w:bCs/>
              </w:rPr>
              <w:t xml:space="preserve">1st </w:t>
            </w:r>
          </w:p>
          <w:p w14:paraId="7792E565" w14:textId="69C0E661" w:rsidR="008940E1" w:rsidRPr="008940E1" w:rsidRDefault="008940E1" w:rsidP="00FB0532">
            <w:pPr>
              <w:rPr>
                <w:b/>
                <w:bCs/>
              </w:rPr>
            </w:pPr>
            <w:r w:rsidRPr="008940E1">
              <w:rPr>
                <w:rFonts w:ascii="Calibri" w:eastAsia="Times New Roman" w:hAnsi="Calibri" w:cs="Calibri"/>
                <w:b/>
                <w:bCs/>
              </w:rPr>
              <w:t>Year</w:t>
            </w:r>
          </w:p>
        </w:tc>
        <w:tc>
          <w:tcPr>
            <w:tcW w:w="9900" w:type="dxa"/>
            <w:shd w:val="clear" w:color="auto" w:fill="auto"/>
          </w:tcPr>
          <w:p w14:paraId="59773BC4" w14:textId="77777777" w:rsidR="008940E1" w:rsidRPr="008940E1" w:rsidRDefault="008940E1" w:rsidP="00FB0532">
            <w:pPr>
              <w:numPr>
                <w:ilvl w:val="0"/>
                <w:numId w:val="16"/>
              </w:numPr>
              <w:textAlignment w:val="baseline"/>
              <w:rPr>
                <w:rFonts w:ascii="Calibri" w:eastAsia="Times New Roman" w:hAnsi="Calibri" w:cs="Calibri"/>
              </w:rPr>
            </w:pPr>
            <w:r w:rsidRPr="008940E1">
              <w:rPr>
                <w:rFonts w:ascii="Calibri" w:eastAsia="Times New Roman" w:hAnsi="Calibri" w:cs="Calibri"/>
              </w:rPr>
              <w:t>Compare indicator CTE Concentrator Performance vs. All District Performance</w:t>
            </w:r>
          </w:p>
          <w:p w14:paraId="09C22BC1" w14:textId="6F45F62A" w:rsidR="002D6A2D" w:rsidRPr="00D60264" w:rsidRDefault="008940E1" w:rsidP="00FB0532">
            <w:pPr>
              <w:numPr>
                <w:ilvl w:val="0"/>
                <w:numId w:val="16"/>
              </w:numPr>
              <w:textAlignment w:val="baseline"/>
              <w:rPr>
                <w:rFonts w:ascii="Calibri" w:eastAsia="Times New Roman" w:hAnsi="Calibri" w:cs="Calibri"/>
              </w:rPr>
            </w:pPr>
            <w:r w:rsidRPr="008940E1">
              <w:rPr>
                <w:rFonts w:ascii="Calibri" w:eastAsia="Times New Roman" w:hAnsi="Calibri" w:cs="Calibri"/>
              </w:rPr>
              <w:t>Review curriculum and programs for opportunities to incorporate the indicator into the CTE curriculum.</w:t>
            </w:r>
          </w:p>
        </w:tc>
      </w:tr>
      <w:tr w:rsidR="008940E1" w:rsidRPr="008940E1" w14:paraId="7351C19C" w14:textId="77777777" w:rsidTr="00FB0532">
        <w:tc>
          <w:tcPr>
            <w:tcW w:w="985" w:type="dxa"/>
            <w:gridSpan w:val="2"/>
            <w:shd w:val="clear" w:color="auto" w:fill="auto"/>
          </w:tcPr>
          <w:p w14:paraId="419E5B0B" w14:textId="77777777" w:rsidR="008940E1" w:rsidRPr="008940E1" w:rsidRDefault="008940E1" w:rsidP="00FB0532">
            <w:pPr>
              <w:rPr>
                <w:b/>
                <w:bCs/>
              </w:rPr>
            </w:pPr>
            <w:r w:rsidRPr="008940E1">
              <w:rPr>
                <w:rFonts w:ascii="Calibri" w:eastAsia="Times New Roman" w:hAnsi="Calibri" w:cs="Calibri"/>
                <w:b/>
                <w:bCs/>
              </w:rPr>
              <w:t>2nd Year</w:t>
            </w:r>
          </w:p>
        </w:tc>
        <w:tc>
          <w:tcPr>
            <w:tcW w:w="9900" w:type="dxa"/>
            <w:shd w:val="clear" w:color="auto" w:fill="auto"/>
          </w:tcPr>
          <w:p w14:paraId="73177BA7" w14:textId="77777777" w:rsidR="008940E1" w:rsidRPr="008940E1" w:rsidRDefault="008940E1" w:rsidP="00FB0532">
            <w:pPr>
              <w:numPr>
                <w:ilvl w:val="0"/>
                <w:numId w:val="16"/>
              </w:numPr>
              <w:textAlignment w:val="baseline"/>
              <w:rPr>
                <w:rFonts w:ascii="Calibri" w:eastAsia="Times New Roman" w:hAnsi="Calibri" w:cs="Calibri"/>
              </w:rPr>
            </w:pPr>
            <w:r w:rsidRPr="008940E1">
              <w:rPr>
                <w:rFonts w:ascii="Calibri" w:eastAsia="Times New Roman" w:hAnsi="Calibri" w:cs="Calibri"/>
              </w:rPr>
              <w:t>Compare indicator CTE Concentrator Performance vs. All District Performance</w:t>
            </w:r>
          </w:p>
          <w:p w14:paraId="66EF9A85" w14:textId="77777777" w:rsidR="008940E1" w:rsidRPr="008940E1" w:rsidRDefault="008940E1" w:rsidP="00FB0532">
            <w:pPr>
              <w:numPr>
                <w:ilvl w:val="0"/>
                <w:numId w:val="16"/>
              </w:numPr>
              <w:textAlignment w:val="baseline"/>
              <w:rPr>
                <w:rFonts w:ascii="Calibri" w:eastAsia="Times New Roman" w:hAnsi="Calibri" w:cs="Calibri"/>
              </w:rPr>
            </w:pPr>
            <w:r w:rsidRPr="008940E1">
              <w:rPr>
                <w:rFonts w:ascii="Calibri" w:eastAsia="Times New Roman" w:hAnsi="Calibri" w:cs="Calibri"/>
              </w:rPr>
              <w:t>Review curriculum for opportunities to incorporate the indicator into the CTE curriculum.</w:t>
            </w:r>
          </w:p>
          <w:p w14:paraId="1107CD0A" w14:textId="77777777" w:rsidR="008940E1" w:rsidRPr="008940E1" w:rsidRDefault="008940E1" w:rsidP="00FB0532">
            <w:pPr>
              <w:numPr>
                <w:ilvl w:val="0"/>
                <w:numId w:val="16"/>
              </w:numPr>
              <w:textAlignment w:val="baseline"/>
              <w:rPr>
                <w:rFonts w:ascii="Calibri" w:eastAsia="Times New Roman" w:hAnsi="Calibri" w:cs="Calibri"/>
              </w:rPr>
            </w:pPr>
            <w:r w:rsidRPr="008940E1">
              <w:rPr>
                <w:rFonts w:ascii="Calibri" w:eastAsia="Times New Roman" w:hAnsi="Calibri" w:cs="Calibri"/>
              </w:rPr>
              <w:t>Review sub-groups and special populations for performance disparities compared to the all-concentrator performance. </w:t>
            </w:r>
          </w:p>
        </w:tc>
      </w:tr>
      <w:tr w:rsidR="008940E1" w:rsidRPr="008940E1" w14:paraId="5F562D47" w14:textId="77777777" w:rsidTr="00FB0532">
        <w:tc>
          <w:tcPr>
            <w:tcW w:w="985" w:type="dxa"/>
            <w:gridSpan w:val="2"/>
            <w:shd w:val="clear" w:color="auto" w:fill="auto"/>
          </w:tcPr>
          <w:p w14:paraId="227D7ABB" w14:textId="77777777" w:rsidR="008940E1" w:rsidRPr="008940E1" w:rsidRDefault="008940E1" w:rsidP="00FB0532">
            <w:pPr>
              <w:rPr>
                <w:b/>
                <w:bCs/>
              </w:rPr>
            </w:pPr>
            <w:r w:rsidRPr="008940E1">
              <w:rPr>
                <w:rFonts w:ascii="Calibri" w:eastAsia="Times New Roman" w:hAnsi="Calibri" w:cs="Calibri"/>
                <w:b/>
                <w:bCs/>
              </w:rPr>
              <w:t>3rd Year</w:t>
            </w:r>
          </w:p>
        </w:tc>
        <w:tc>
          <w:tcPr>
            <w:tcW w:w="9900" w:type="dxa"/>
            <w:shd w:val="clear" w:color="auto" w:fill="auto"/>
          </w:tcPr>
          <w:p w14:paraId="42DA118E" w14:textId="77777777" w:rsidR="008940E1" w:rsidRPr="008940E1" w:rsidRDefault="008940E1" w:rsidP="00FB0532">
            <w:pPr>
              <w:numPr>
                <w:ilvl w:val="0"/>
                <w:numId w:val="16"/>
              </w:numPr>
              <w:textAlignment w:val="baseline"/>
              <w:rPr>
                <w:rFonts w:ascii="Calibri" w:eastAsia="Times New Roman" w:hAnsi="Calibri" w:cs="Calibri"/>
              </w:rPr>
            </w:pPr>
            <w:r w:rsidRPr="008940E1">
              <w:rPr>
                <w:rFonts w:ascii="Calibri" w:eastAsia="Times New Roman" w:hAnsi="Calibri" w:cs="Calibri"/>
              </w:rPr>
              <w:t>Compare indicator CTE Concentrator Performance vs. All District Performance</w:t>
            </w:r>
          </w:p>
          <w:p w14:paraId="42E04236" w14:textId="77777777" w:rsidR="008940E1" w:rsidRPr="008940E1" w:rsidRDefault="008940E1" w:rsidP="00FB0532">
            <w:pPr>
              <w:numPr>
                <w:ilvl w:val="0"/>
                <w:numId w:val="16"/>
              </w:numPr>
              <w:textAlignment w:val="baseline"/>
              <w:rPr>
                <w:rFonts w:ascii="Calibri" w:eastAsia="Times New Roman" w:hAnsi="Calibri" w:cs="Calibri"/>
              </w:rPr>
            </w:pPr>
            <w:r w:rsidRPr="008940E1">
              <w:rPr>
                <w:rFonts w:ascii="Calibri" w:eastAsia="Times New Roman" w:hAnsi="Calibri" w:cs="Calibri"/>
              </w:rPr>
              <w:t>Review curriculum for opportunities to incorporate the indicator into the CTE curriculum.</w:t>
            </w:r>
          </w:p>
          <w:p w14:paraId="3058F25A" w14:textId="20B40573" w:rsidR="008940E1" w:rsidRPr="008940E1" w:rsidRDefault="008940E1" w:rsidP="00FB0532">
            <w:pPr>
              <w:numPr>
                <w:ilvl w:val="0"/>
                <w:numId w:val="16"/>
              </w:numPr>
              <w:textAlignment w:val="baseline"/>
              <w:rPr>
                <w:rFonts w:ascii="Calibri" w:eastAsia="Times New Roman" w:hAnsi="Calibri" w:cs="Calibri"/>
              </w:rPr>
            </w:pPr>
            <w:r w:rsidRPr="008940E1">
              <w:rPr>
                <w:rFonts w:ascii="Calibri" w:eastAsia="Times New Roman" w:hAnsi="Calibri" w:cs="Calibri"/>
              </w:rPr>
              <w:t xml:space="preserve">Invest </w:t>
            </w:r>
            <w:r w:rsidR="00172E1D">
              <w:rPr>
                <w:rFonts w:ascii="Calibri" w:eastAsia="Times New Roman" w:hAnsi="Calibri" w:cs="Calibri"/>
              </w:rPr>
              <w:t>10%</w:t>
            </w:r>
            <w:r w:rsidRPr="008940E1">
              <w:rPr>
                <w:rFonts w:ascii="Calibri" w:eastAsia="Times New Roman" w:hAnsi="Calibri" w:cs="Calibri"/>
              </w:rPr>
              <w:t xml:space="preserve"> of the Perkins Budget into professional development, </w:t>
            </w:r>
            <w:r w:rsidR="00EF1559" w:rsidRPr="008940E1">
              <w:rPr>
                <w:rFonts w:ascii="Calibri" w:eastAsia="Times New Roman" w:hAnsi="Calibri" w:cs="Calibri"/>
              </w:rPr>
              <w:t>resources,</w:t>
            </w:r>
            <w:r w:rsidRPr="008940E1">
              <w:rPr>
                <w:rFonts w:ascii="Calibri" w:eastAsia="Times New Roman" w:hAnsi="Calibri" w:cs="Calibri"/>
              </w:rPr>
              <w:t xml:space="preserve"> or other supports to assist in improved performance related to the deficient indicator</w:t>
            </w:r>
          </w:p>
        </w:tc>
      </w:tr>
      <w:tr w:rsidR="008940E1" w:rsidRPr="008940E1" w14:paraId="2FDDE7CA" w14:textId="77777777" w:rsidTr="00FB0532">
        <w:tc>
          <w:tcPr>
            <w:tcW w:w="985" w:type="dxa"/>
            <w:gridSpan w:val="2"/>
            <w:shd w:val="clear" w:color="auto" w:fill="auto"/>
          </w:tcPr>
          <w:p w14:paraId="76AA78F4" w14:textId="77777777" w:rsidR="00D646B5" w:rsidRDefault="008940E1" w:rsidP="00FB0532">
            <w:pPr>
              <w:rPr>
                <w:rFonts w:ascii="Calibri" w:eastAsia="Times New Roman" w:hAnsi="Calibri" w:cs="Calibri"/>
                <w:b/>
                <w:bCs/>
              </w:rPr>
            </w:pPr>
            <w:r w:rsidRPr="008940E1">
              <w:rPr>
                <w:rFonts w:ascii="Calibri" w:eastAsia="Times New Roman" w:hAnsi="Calibri" w:cs="Calibri"/>
                <w:b/>
                <w:bCs/>
              </w:rPr>
              <w:t xml:space="preserve">4th </w:t>
            </w:r>
          </w:p>
          <w:p w14:paraId="0813DAAF" w14:textId="12AC4A48" w:rsidR="008940E1" w:rsidRPr="008940E1" w:rsidRDefault="008940E1" w:rsidP="00FB0532">
            <w:pPr>
              <w:rPr>
                <w:b/>
                <w:bCs/>
              </w:rPr>
            </w:pPr>
            <w:r w:rsidRPr="008940E1">
              <w:rPr>
                <w:rFonts w:ascii="Calibri" w:eastAsia="Times New Roman" w:hAnsi="Calibri" w:cs="Calibri"/>
                <w:b/>
                <w:bCs/>
              </w:rPr>
              <w:t>Year</w:t>
            </w:r>
          </w:p>
        </w:tc>
        <w:tc>
          <w:tcPr>
            <w:tcW w:w="9900" w:type="dxa"/>
            <w:shd w:val="clear" w:color="auto" w:fill="auto"/>
          </w:tcPr>
          <w:p w14:paraId="7CB90F89" w14:textId="2A648E42" w:rsidR="008940E1" w:rsidRPr="008940E1" w:rsidRDefault="008940E1" w:rsidP="00FB0532">
            <w:pPr>
              <w:numPr>
                <w:ilvl w:val="0"/>
                <w:numId w:val="16"/>
              </w:numPr>
              <w:textAlignment w:val="baseline"/>
              <w:rPr>
                <w:rFonts w:ascii="Calibri" w:eastAsia="Times New Roman" w:hAnsi="Calibri" w:cs="Calibri"/>
              </w:rPr>
            </w:pPr>
            <w:r w:rsidRPr="008940E1">
              <w:rPr>
                <w:rFonts w:ascii="Calibri" w:eastAsia="Times New Roman" w:hAnsi="Calibri" w:cs="Calibri"/>
              </w:rPr>
              <w:t xml:space="preserve">Invest a portion of the Perkins Budget into professional development, </w:t>
            </w:r>
            <w:r w:rsidR="00EF1559" w:rsidRPr="008940E1">
              <w:rPr>
                <w:rFonts w:ascii="Calibri" w:eastAsia="Times New Roman" w:hAnsi="Calibri" w:cs="Calibri"/>
              </w:rPr>
              <w:t>resources,</w:t>
            </w:r>
            <w:r w:rsidRPr="008940E1">
              <w:rPr>
                <w:rFonts w:ascii="Calibri" w:eastAsia="Times New Roman" w:hAnsi="Calibri" w:cs="Calibri"/>
              </w:rPr>
              <w:t xml:space="preserve"> or other supports to assist in improved performance related to the deficient indicator</w:t>
            </w:r>
          </w:p>
          <w:p w14:paraId="5C4D8B82" w14:textId="677D78A4" w:rsidR="008940E1" w:rsidRDefault="008940E1" w:rsidP="00FB0532">
            <w:pPr>
              <w:numPr>
                <w:ilvl w:val="0"/>
                <w:numId w:val="16"/>
              </w:numPr>
              <w:textAlignment w:val="baseline"/>
              <w:rPr>
                <w:rFonts w:ascii="Calibri" w:eastAsia="Times New Roman" w:hAnsi="Calibri" w:cs="Calibri"/>
              </w:rPr>
            </w:pPr>
            <w:r w:rsidRPr="008940E1">
              <w:rPr>
                <w:rFonts w:ascii="Calibri" w:eastAsia="Times New Roman" w:hAnsi="Calibri" w:cs="Calibri"/>
              </w:rPr>
              <w:t xml:space="preserve">The state will determine conditions and expectations the entity must comply by </w:t>
            </w:r>
            <w:r w:rsidR="0050435B" w:rsidRPr="008940E1">
              <w:rPr>
                <w:rFonts w:ascii="Calibri" w:eastAsia="Times New Roman" w:hAnsi="Calibri" w:cs="Calibri"/>
              </w:rPr>
              <w:t>to</w:t>
            </w:r>
            <w:r w:rsidRPr="008940E1">
              <w:rPr>
                <w:rFonts w:ascii="Calibri" w:eastAsia="Times New Roman" w:hAnsi="Calibri" w:cs="Calibri"/>
              </w:rPr>
              <w:t xml:space="preserve"> continue receiving </w:t>
            </w:r>
            <w:r w:rsidR="00EF1559" w:rsidRPr="008940E1">
              <w:rPr>
                <w:rFonts w:ascii="Calibri" w:eastAsia="Times New Roman" w:hAnsi="Calibri" w:cs="Calibri"/>
              </w:rPr>
              <w:t>Perkins</w:t>
            </w:r>
            <w:r w:rsidRPr="008940E1">
              <w:rPr>
                <w:rFonts w:ascii="Calibri" w:eastAsia="Times New Roman" w:hAnsi="Calibri" w:cs="Calibri"/>
              </w:rPr>
              <w:t xml:space="preserve"> funding.  </w:t>
            </w:r>
          </w:p>
          <w:p w14:paraId="30FE7590" w14:textId="77777777" w:rsidR="00D60264" w:rsidRDefault="00D60264" w:rsidP="00D60264">
            <w:pPr>
              <w:textAlignment w:val="baseline"/>
              <w:rPr>
                <w:rFonts w:ascii="Calibri" w:eastAsia="Times New Roman" w:hAnsi="Calibri" w:cs="Calibri"/>
              </w:rPr>
            </w:pPr>
          </w:p>
          <w:p w14:paraId="30D46B32" w14:textId="77777777" w:rsidR="00D60264" w:rsidRDefault="00D60264" w:rsidP="00D60264">
            <w:pPr>
              <w:textAlignment w:val="baseline"/>
              <w:rPr>
                <w:rFonts w:ascii="Calibri" w:eastAsia="Times New Roman" w:hAnsi="Calibri" w:cs="Calibri"/>
              </w:rPr>
            </w:pPr>
          </w:p>
          <w:p w14:paraId="74C698DA" w14:textId="77777777" w:rsidR="00D60264" w:rsidRDefault="00D60264" w:rsidP="00D60264">
            <w:pPr>
              <w:textAlignment w:val="baseline"/>
              <w:rPr>
                <w:rFonts w:ascii="Calibri" w:eastAsia="Times New Roman" w:hAnsi="Calibri" w:cs="Calibri"/>
              </w:rPr>
            </w:pPr>
          </w:p>
          <w:p w14:paraId="57B0E278" w14:textId="77777777" w:rsidR="00730C1B" w:rsidRDefault="00730C1B" w:rsidP="00D60264">
            <w:pPr>
              <w:textAlignment w:val="baseline"/>
              <w:rPr>
                <w:rFonts w:ascii="Calibri" w:eastAsia="Times New Roman" w:hAnsi="Calibri" w:cs="Calibri"/>
              </w:rPr>
            </w:pPr>
          </w:p>
          <w:p w14:paraId="6296022A" w14:textId="60773173" w:rsidR="00730C1B" w:rsidRPr="008940E1" w:rsidRDefault="00730C1B" w:rsidP="00D60264">
            <w:pPr>
              <w:textAlignment w:val="baseline"/>
              <w:rPr>
                <w:rFonts w:ascii="Calibri" w:eastAsia="Times New Roman" w:hAnsi="Calibri" w:cs="Calibri"/>
              </w:rPr>
            </w:pPr>
          </w:p>
        </w:tc>
      </w:tr>
      <w:tr w:rsidR="008940E1" w:rsidRPr="008940E1" w14:paraId="214D27D2" w14:textId="77777777" w:rsidTr="00FB0532">
        <w:tc>
          <w:tcPr>
            <w:tcW w:w="10885" w:type="dxa"/>
            <w:gridSpan w:val="3"/>
            <w:shd w:val="clear" w:color="auto" w:fill="000000" w:themeFill="text1"/>
          </w:tcPr>
          <w:p w14:paraId="6F1204C0" w14:textId="77777777" w:rsidR="008940E1" w:rsidRPr="008940E1" w:rsidRDefault="008940E1" w:rsidP="00FB0532">
            <w:pPr>
              <w:jc w:val="center"/>
              <w:rPr>
                <w:sz w:val="28"/>
                <w:szCs w:val="28"/>
              </w:rPr>
            </w:pPr>
            <w:r w:rsidRPr="008940E1">
              <w:rPr>
                <w:rFonts w:ascii="Calibri" w:eastAsia="Times New Roman" w:hAnsi="Calibri" w:cs="Calibri"/>
                <w:b/>
                <w:bCs/>
                <w:sz w:val="28"/>
                <w:szCs w:val="28"/>
              </w:rPr>
              <w:lastRenderedPageBreak/>
              <w:t>Non-Traditional Concentrators</w:t>
            </w:r>
          </w:p>
        </w:tc>
      </w:tr>
      <w:tr w:rsidR="008940E1" w:rsidRPr="008940E1" w14:paraId="7E6B832E" w14:textId="77777777" w:rsidTr="00FB0532">
        <w:tc>
          <w:tcPr>
            <w:tcW w:w="985" w:type="dxa"/>
            <w:gridSpan w:val="2"/>
            <w:shd w:val="clear" w:color="auto" w:fill="auto"/>
          </w:tcPr>
          <w:p w14:paraId="27FD76B0" w14:textId="77777777" w:rsidR="008940E1" w:rsidRPr="008940E1" w:rsidRDefault="008940E1" w:rsidP="00FB0532">
            <w:r w:rsidRPr="008940E1">
              <w:rPr>
                <w:rFonts w:ascii="Calibri" w:eastAsia="Times New Roman" w:hAnsi="Calibri" w:cs="Calibri"/>
                <w:b/>
                <w:bCs/>
              </w:rPr>
              <w:t>1</w:t>
            </w:r>
            <w:r w:rsidRPr="008940E1">
              <w:rPr>
                <w:rFonts w:ascii="Calibri" w:eastAsia="Times New Roman" w:hAnsi="Calibri" w:cs="Calibri"/>
                <w:b/>
                <w:bCs/>
                <w:vertAlign w:val="superscript"/>
              </w:rPr>
              <w:t>st</w:t>
            </w:r>
            <w:r w:rsidRPr="008940E1">
              <w:rPr>
                <w:rFonts w:ascii="Calibri" w:eastAsia="Times New Roman" w:hAnsi="Calibri" w:cs="Calibri"/>
                <w:b/>
                <w:bCs/>
              </w:rPr>
              <w:t xml:space="preserve"> Year</w:t>
            </w:r>
          </w:p>
        </w:tc>
        <w:tc>
          <w:tcPr>
            <w:tcW w:w="9900" w:type="dxa"/>
            <w:shd w:val="clear" w:color="auto" w:fill="auto"/>
          </w:tcPr>
          <w:p w14:paraId="41BEF7C8" w14:textId="76C708F0" w:rsidR="008940E1" w:rsidRPr="008940E1" w:rsidRDefault="008940E1" w:rsidP="00FB0532">
            <w:pPr>
              <w:numPr>
                <w:ilvl w:val="0"/>
                <w:numId w:val="17"/>
              </w:numPr>
              <w:textAlignment w:val="baseline"/>
              <w:rPr>
                <w:rFonts w:ascii="Calibri" w:eastAsia="Times New Roman" w:hAnsi="Calibri" w:cs="Calibri"/>
              </w:rPr>
            </w:pPr>
            <w:r w:rsidRPr="008940E1">
              <w:rPr>
                <w:rFonts w:ascii="Calibri" w:eastAsia="Times New Roman" w:hAnsi="Calibri" w:cs="Calibri"/>
              </w:rPr>
              <w:t xml:space="preserve">Evaluate course offerings, Career Clusters offered and program structure </w:t>
            </w:r>
            <w:r w:rsidR="0050435B" w:rsidRPr="008940E1">
              <w:rPr>
                <w:rFonts w:ascii="Calibri" w:eastAsia="Times New Roman" w:hAnsi="Calibri" w:cs="Calibri"/>
              </w:rPr>
              <w:t>to</w:t>
            </w:r>
            <w:r w:rsidRPr="008940E1">
              <w:rPr>
                <w:rFonts w:ascii="Calibri" w:eastAsia="Times New Roman" w:hAnsi="Calibri" w:cs="Calibri"/>
              </w:rPr>
              <w:t xml:space="preserve"> identify if the course options meet the needs of the students</w:t>
            </w:r>
          </w:p>
          <w:p w14:paraId="56349630" w14:textId="77777777" w:rsidR="008940E1" w:rsidRPr="008940E1" w:rsidRDefault="008940E1" w:rsidP="00FB0532">
            <w:pPr>
              <w:numPr>
                <w:ilvl w:val="0"/>
                <w:numId w:val="17"/>
              </w:numPr>
              <w:textAlignment w:val="baseline"/>
              <w:rPr>
                <w:rFonts w:ascii="Calibri" w:eastAsia="Times New Roman" w:hAnsi="Calibri" w:cs="Calibri"/>
              </w:rPr>
            </w:pPr>
            <w:r w:rsidRPr="008940E1">
              <w:rPr>
                <w:rFonts w:ascii="Calibri" w:eastAsia="Times New Roman" w:hAnsi="Calibri" w:cs="Calibri"/>
              </w:rPr>
              <w:t>Self-Audit of the classroom climate of programs and courses which are non-traditional Career Clusters.  </w:t>
            </w:r>
          </w:p>
          <w:p w14:paraId="3A7283CF" w14:textId="77777777" w:rsidR="008940E1" w:rsidRPr="008940E1" w:rsidRDefault="008940E1" w:rsidP="00FB0532">
            <w:pPr>
              <w:numPr>
                <w:ilvl w:val="0"/>
                <w:numId w:val="17"/>
              </w:numPr>
              <w:textAlignment w:val="baseline"/>
              <w:rPr>
                <w:rFonts w:ascii="Calibri" w:eastAsia="Times New Roman" w:hAnsi="Calibri" w:cs="Calibri"/>
              </w:rPr>
            </w:pPr>
            <w:r w:rsidRPr="008940E1">
              <w:rPr>
                <w:rFonts w:ascii="Calibri" w:eastAsia="Times New Roman" w:hAnsi="Calibri" w:cs="Calibri"/>
              </w:rPr>
              <w:t>Review Course Code Descriptions, course registration communications and messaging by teachers/school counselors/administration, etc.</w:t>
            </w:r>
          </w:p>
          <w:p w14:paraId="563763E8" w14:textId="77777777" w:rsidR="008940E1" w:rsidRPr="008940E1" w:rsidRDefault="008940E1" w:rsidP="00FB0532">
            <w:pPr>
              <w:numPr>
                <w:ilvl w:val="0"/>
                <w:numId w:val="17"/>
              </w:numPr>
              <w:textAlignment w:val="baseline"/>
              <w:rPr>
                <w:rFonts w:ascii="Calibri" w:eastAsia="Times New Roman" w:hAnsi="Calibri" w:cs="Calibri"/>
              </w:rPr>
            </w:pPr>
            <w:r w:rsidRPr="008940E1">
              <w:rPr>
                <w:rFonts w:ascii="Calibri" w:eastAsia="Times New Roman" w:hAnsi="Calibri" w:cs="Calibri"/>
              </w:rPr>
              <w:t>Examine course scheduling, program structure (ability to become a concentrator) or other peripheral factors which may be impacting non-traditional concentration.</w:t>
            </w:r>
          </w:p>
          <w:p w14:paraId="26008E9A" w14:textId="77777777" w:rsidR="008940E1" w:rsidRPr="008940E1" w:rsidRDefault="008940E1" w:rsidP="00FB0532">
            <w:pPr>
              <w:numPr>
                <w:ilvl w:val="0"/>
                <w:numId w:val="17"/>
              </w:numPr>
              <w:textAlignment w:val="baseline"/>
              <w:rPr>
                <w:rFonts w:ascii="Calibri" w:eastAsia="Times New Roman" w:hAnsi="Calibri" w:cs="Calibri"/>
              </w:rPr>
            </w:pPr>
            <w:r w:rsidRPr="008940E1">
              <w:rPr>
                <w:rFonts w:ascii="Calibri" w:eastAsia="Times New Roman" w:hAnsi="Calibri" w:cs="Calibri"/>
              </w:rPr>
              <w:t>Develop action steps for improving the experience of non-traditional students in the CTE program(s).</w:t>
            </w:r>
          </w:p>
        </w:tc>
      </w:tr>
      <w:tr w:rsidR="008940E1" w:rsidRPr="008940E1" w14:paraId="28F78522" w14:textId="77777777" w:rsidTr="00FB0532">
        <w:tc>
          <w:tcPr>
            <w:tcW w:w="985" w:type="dxa"/>
            <w:gridSpan w:val="2"/>
            <w:shd w:val="clear" w:color="auto" w:fill="auto"/>
          </w:tcPr>
          <w:p w14:paraId="7D9488B9" w14:textId="77777777" w:rsidR="008940E1" w:rsidRPr="008940E1" w:rsidRDefault="008940E1" w:rsidP="00FB0532">
            <w:r w:rsidRPr="008940E1">
              <w:rPr>
                <w:rFonts w:ascii="Calibri" w:eastAsia="Times New Roman" w:hAnsi="Calibri" w:cs="Calibri"/>
                <w:b/>
                <w:bCs/>
              </w:rPr>
              <w:t>2</w:t>
            </w:r>
            <w:r w:rsidRPr="008940E1">
              <w:rPr>
                <w:rFonts w:ascii="Calibri" w:eastAsia="Times New Roman" w:hAnsi="Calibri" w:cs="Calibri"/>
                <w:b/>
                <w:bCs/>
                <w:vertAlign w:val="superscript"/>
              </w:rPr>
              <w:t>nd</w:t>
            </w:r>
            <w:r w:rsidRPr="008940E1">
              <w:rPr>
                <w:rFonts w:ascii="Calibri" w:eastAsia="Times New Roman" w:hAnsi="Calibri" w:cs="Calibri"/>
                <w:b/>
                <w:bCs/>
              </w:rPr>
              <w:t xml:space="preserve"> Year</w:t>
            </w:r>
          </w:p>
        </w:tc>
        <w:tc>
          <w:tcPr>
            <w:tcW w:w="9900" w:type="dxa"/>
            <w:shd w:val="clear" w:color="auto" w:fill="auto"/>
          </w:tcPr>
          <w:p w14:paraId="464E1BB7" w14:textId="77777777" w:rsidR="008940E1" w:rsidRPr="008940E1" w:rsidRDefault="008940E1" w:rsidP="00FB0532">
            <w:pPr>
              <w:numPr>
                <w:ilvl w:val="0"/>
                <w:numId w:val="17"/>
              </w:numPr>
              <w:textAlignment w:val="baseline"/>
              <w:rPr>
                <w:rFonts w:ascii="Calibri" w:eastAsia="Times New Roman" w:hAnsi="Calibri" w:cs="Calibri"/>
              </w:rPr>
            </w:pPr>
            <w:r w:rsidRPr="008940E1">
              <w:rPr>
                <w:rFonts w:ascii="Calibri" w:eastAsia="Times New Roman" w:hAnsi="Calibri" w:cs="Calibri"/>
              </w:rPr>
              <w:t>Repeat year one actions. </w:t>
            </w:r>
          </w:p>
          <w:p w14:paraId="3D8A14B8" w14:textId="77777777" w:rsidR="008940E1" w:rsidRPr="008940E1" w:rsidRDefault="008940E1" w:rsidP="00FB0532">
            <w:pPr>
              <w:numPr>
                <w:ilvl w:val="0"/>
                <w:numId w:val="17"/>
              </w:numPr>
              <w:textAlignment w:val="baseline"/>
              <w:rPr>
                <w:rFonts w:ascii="Calibri" w:eastAsia="Times New Roman" w:hAnsi="Calibri" w:cs="Calibri"/>
              </w:rPr>
            </w:pPr>
            <w:r w:rsidRPr="008940E1">
              <w:rPr>
                <w:rFonts w:ascii="Calibri" w:eastAsia="Times New Roman" w:hAnsi="Calibri" w:cs="Calibri"/>
              </w:rPr>
              <w:t>Identify progress and positive steps taken since last year. </w:t>
            </w:r>
          </w:p>
          <w:p w14:paraId="7549BD7E" w14:textId="77777777" w:rsidR="008940E1" w:rsidRPr="008940E1" w:rsidRDefault="008940E1" w:rsidP="00FB0532">
            <w:pPr>
              <w:numPr>
                <w:ilvl w:val="0"/>
                <w:numId w:val="17"/>
              </w:numPr>
              <w:textAlignment w:val="baseline"/>
              <w:rPr>
                <w:rFonts w:ascii="Calibri" w:eastAsia="Times New Roman" w:hAnsi="Calibri" w:cs="Calibri"/>
              </w:rPr>
            </w:pPr>
            <w:r w:rsidRPr="008940E1">
              <w:rPr>
                <w:rFonts w:ascii="Calibri" w:eastAsia="Times New Roman" w:hAnsi="Calibri" w:cs="Calibri"/>
              </w:rPr>
              <w:t xml:space="preserve">Review and revise action steps for further interventions.  </w:t>
            </w:r>
          </w:p>
        </w:tc>
      </w:tr>
      <w:tr w:rsidR="008940E1" w:rsidRPr="008940E1" w14:paraId="7BFBAB1D" w14:textId="77777777" w:rsidTr="00FB0532">
        <w:tc>
          <w:tcPr>
            <w:tcW w:w="985" w:type="dxa"/>
            <w:gridSpan w:val="2"/>
            <w:shd w:val="clear" w:color="auto" w:fill="auto"/>
          </w:tcPr>
          <w:p w14:paraId="3ABB34A8" w14:textId="77777777" w:rsidR="008940E1" w:rsidRPr="008940E1" w:rsidRDefault="008940E1" w:rsidP="00FB0532">
            <w:r w:rsidRPr="008940E1">
              <w:rPr>
                <w:rFonts w:ascii="Calibri" w:eastAsia="Times New Roman" w:hAnsi="Calibri" w:cs="Calibri"/>
                <w:b/>
                <w:bCs/>
              </w:rPr>
              <w:t>3</w:t>
            </w:r>
            <w:r w:rsidRPr="008940E1">
              <w:rPr>
                <w:rFonts w:ascii="Calibri" w:eastAsia="Times New Roman" w:hAnsi="Calibri" w:cs="Calibri"/>
                <w:b/>
                <w:bCs/>
                <w:vertAlign w:val="superscript"/>
              </w:rPr>
              <w:t>rd</w:t>
            </w:r>
            <w:r w:rsidRPr="008940E1">
              <w:rPr>
                <w:rFonts w:ascii="Calibri" w:eastAsia="Times New Roman" w:hAnsi="Calibri" w:cs="Calibri"/>
                <w:b/>
                <w:bCs/>
              </w:rPr>
              <w:t xml:space="preserve"> Year</w:t>
            </w:r>
          </w:p>
        </w:tc>
        <w:tc>
          <w:tcPr>
            <w:tcW w:w="9900" w:type="dxa"/>
            <w:shd w:val="clear" w:color="auto" w:fill="auto"/>
          </w:tcPr>
          <w:p w14:paraId="3ADFD990" w14:textId="77777777" w:rsidR="008940E1" w:rsidRPr="008940E1" w:rsidRDefault="008940E1" w:rsidP="00FB0532">
            <w:pPr>
              <w:numPr>
                <w:ilvl w:val="0"/>
                <w:numId w:val="17"/>
              </w:numPr>
              <w:textAlignment w:val="baseline"/>
              <w:rPr>
                <w:rFonts w:ascii="Calibri" w:eastAsia="Times New Roman" w:hAnsi="Calibri" w:cs="Calibri"/>
              </w:rPr>
            </w:pPr>
            <w:r w:rsidRPr="008940E1">
              <w:rPr>
                <w:rFonts w:ascii="Calibri" w:eastAsia="Times New Roman" w:hAnsi="Calibri" w:cs="Calibri"/>
              </w:rPr>
              <w:t>Repeat year two actions.</w:t>
            </w:r>
          </w:p>
          <w:p w14:paraId="38AA3C8F" w14:textId="77777777" w:rsidR="008940E1" w:rsidRPr="008940E1" w:rsidRDefault="008940E1" w:rsidP="00FB0532">
            <w:pPr>
              <w:numPr>
                <w:ilvl w:val="0"/>
                <w:numId w:val="17"/>
              </w:numPr>
              <w:textAlignment w:val="baseline"/>
              <w:rPr>
                <w:rFonts w:ascii="Calibri" w:eastAsia="Times New Roman" w:hAnsi="Calibri" w:cs="Calibri"/>
              </w:rPr>
            </w:pPr>
            <w:r w:rsidRPr="008940E1">
              <w:rPr>
                <w:rFonts w:ascii="Calibri" w:eastAsia="Times New Roman" w:hAnsi="Calibri" w:cs="Calibri"/>
              </w:rPr>
              <w:t>Identify progress and positive steps taken since last year. </w:t>
            </w:r>
          </w:p>
          <w:p w14:paraId="75E20C38" w14:textId="6F109B9E" w:rsidR="008940E1" w:rsidRPr="008940E1" w:rsidRDefault="008940E1" w:rsidP="00FB0532">
            <w:pPr>
              <w:numPr>
                <w:ilvl w:val="0"/>
                <w:numId w:val="17"/>
              </w:numPr>
              <w:textAlignment w:val="baseline"/>
              <w:rPr>
                <w:rFonts w:ascii="Calibri" w:eastAsia="Times New Roman" w:hAnsi="Calibri" w:cs="Calibri"/>
              </w:rPr>
            </w:pPr>
            <w:r w:rsidRPr="008940E1">
              <w:rPr>
                <w:rFonts w:ascii="Calibri" w:eastAsia="Times New Roman" w:hAnsi="Calibri" w:cs="Calibri"/>
              </w:rPr>
              <w:t xml:space="preserve">Invest </w:t>
            </w:r>
            <w:r w:rsidR="003175A8">
              <w:rPr>
                <w:rFonts w:ascii="Calibri" w:eastAsia="Times New Roman" w:hAnsi="Calibri" w:cs="Calibri"/>
              </w:rPr>
              <w:t xml:space="preserve">10% </w:t>
            </w:r>
            <w:r w:rsidRPr="008940E1">
              <w:rPr>
                <w:rFonts w:ascii="Calibri" w:eastAsia="Times New Roman" w:hAnsi="Calibri" w:cs="Calibri"/>
              </w:rPr>
              <w:t xml:space="preserve">of the Perkins budget into professional development, resources, </w:t>
            </w:r>
            <w:r w:rsidR="0050435B" w:rsidRPr="008940E1">
              <w:rPr>
                <w:rFonts w:ascii="Calibri" w:eastAsia="Times New Roman" w:hAnsi="Calibri" w:cs="Calibri"/>
              </w:rPr>
              <w:t>activities,</w:t>
            </w:r>
            <w:r w:rsidRPr="008940E1">
              <w:rPr>
                <w:rFonts w:ascii="Calibri" w:eastAsia="Times New Roman" w:hAnsi="Calibri" w:cs="Calibri"/>
              </w:rPr>
              <w:t xml:space="preserve"> or other supports which will provide exposure and access to non-traditional students.  </w:t>
            </w:r>
          </w:p>
        </w:tc>
      </w:tr>
      <w:tr w:rsidR="008940E1" w:rsidRPr="008940E1" w14:paraId="1B623B29" w14:textId="77777777" w:rsidTr="00FB0532">
        <w:trPr>
          <w:trHeight w:val="368"/>
        </w:trPr>
        <w:tc>
          <w:tcPr>
            <w:tcW w:w="985" w:type="dxa"/>
            <w:gridSpan w:val="2"/>
            <w:shd w:val="clear" w:color="auto" w:fill="auto"/>
          </w:tcPr>
          <w:p w14:paraId="00E07199" w14:textId="77777777" w:rsidR="008940E1" w:rsidRPr="008940E1" w:rsidRDefault="008940E1" w:rsidP="00FB0532">
            <w:pPr>
              <w:rPr>
                <w:rFonts w:ascii="Calibri" w:eastAsia="Times New Roman" w:hAnsi="Calibri" w:cs="Calibri"/>
                <w:b/>
                <w:bCs/>
              </w:rPr>
            </w:pPr>
            <w:r w:rsidRPr="008940E1">
              <w:rPr>
                <w:rFonts w:ascii="Calibri" w:eastAsia="Times New Roman" w:hAnsi="Calibri" w:cs="Calibri"/>
                <w:b/>
                <w:bCs/>
              </w:rPr>
              <w:t>4</w:t>
            </w:r>
            <w:r w:rsidRPr="008940E1">
              <w:rPr>
                <w:rFonts w:ascii="Calibri" w:eastAsia="Times New Roman" w:hAnsi="Calibri" w:cs="Calibri"/>
                <w:b/>
                <w:bCs/>
                <w:vertAlign w:val="superscript"/>
              </w:rPr>
              <w:t>th</w:t>
            </w:r>
            <w:r w:rsidRPr="008940E1">
              <w:rPr>
                <w:rFonts w:ascii="Calibri" w:eastAsia="Times New Roman" w:hAnsi="Calibri" w:cs="Calibri"/>
                <w:b/>
                <w:bCs/>
              </w:rPr>
              <w:t xml:space="preserve"> Year</w:t>
            </w:r>
          </w:p>
        </w:tc>
        <w:tc>
          <w:tcPr>
            <w:tcW w:w="9900" w:type="dxa"/>
            <w:shd w:val="clear" w:color="auto" w:fill="auto"/>
          </w:tcPr>
          <w:p w14:paraId="3D72AA03" w14:textId="77777777" w:rsidR="008940E1" w:rsidRPr="008940E1" w:rsidRDefault="008940E1" w:rsidP="00FB0532">
            <w:pPr>
              <w:numPr>
                <w:ilvl w:val="0"/>
                <w:numId w:val="17"/>
              </w:numPr>
              <w:textAlignment w:val="baseline"/>
              <w:rPr>
                <w:rFonts w:ascii="Calibri" w:eastAsia="Times New Roman" w:hAnsi="Calibri" w:cs="Calibri"/>
              </w:rPr>
            </w:pPr>
            <w:r w:rsidRPr="008940E1">
              <w:rPr>
                <w:rFonts w:ascii="Calibri" w:eastAsia="Times New Roman" w:hAnsi="Calibri" w:cs="Calibri"/>
              </w:rPr>
              <w:t>Invest a portion of the Perkins budget into professional development, resources, activities, or other supports which will provide exposure and access to non-traditional students</w:t>
            </w:r>
          </w:p>
          <w:p w14:paraId="72F10E1A" w14:textId="280A0F3E" w:rsidR="008940E1" w:rsidRPr="008940E1" w:rsidRDefault="008940E1" w:rsidP="00FB0532">
            <w:pPr>
              <w:numPr>
                <w:ilvl w:val="0"/>
                <w:numId w:val="17"/>
              </w:numPr>
              <w:textAlignment w:val="baseline"/>
              <w:rPr>
                <w:rFonts w:ascii="Calibri" w:eastAsia="Times New Roman" w:hAnsi="Calibri" w:cs="Calibri"/>
              </w:rPr>
            </w:pPr>
            <w:r w:rsidRPr="008940E1">
              <w:rPr>
                <w:rFonts w:ascii="Calibri" w:eastAsia="Times New Roman" w:hAnsi="Calibri" w:cs="Calibri"/>
              </w:rPr>
              <w:t xml:space="preserve">The state will determine conditions and expectations the entity must comply by </w:t>
            </w:r>
            <w:r w:rsidR="0050435B" w:rsidRPr="008940E1">
              <w:rPr>
                <w:rFonts w:ascii="Calibri" w:eastAsia="Times New Roman" w:hAnsi="Calibri" w:cs="Calibri"/>
              </w:rPr>
              <w:t>to</w:t>
            </w:r>
            <w:r w:rsidRPr="008940E1">
              <w:rPr>
                <w:rFonts w:ascii="Calibri" w:eastAsia="Times New Roman" w:hAnsi="Calibri" w:cs="Calibri"/>
              </w:rPr>
              <w:t xml:space="preserve"> continue receiving Perkins funding.</w:t>
            </w:r>
          </w:p>
          <w:p w14:paraId="24B6FF05" w14:textId="77777777" w:rsidR="008940E1" w:rsidRPr="008940E1" w:rsidRDefault="008940E1" w:rsidP="00FB0532">
            <w:pPr>
              <w:ind w:left="360"/>
              <w:textAlignment w:val="baseline"/>
              <w:rPr>
                <w:rFonts w:ascii="Calibri" w:eastAsia="Times New Roman" w:hAnsi="Calibri" w:cs="Calibri"/>
              </w:rPr>
            </w:pPr>
          </w:p>
        </w:tc>
      </w:tr>
      <w:tr w:rsidR="008940E1" w:rsidRPr="008940E1" w14:paraId="4895EEF7" w14:textId="77777777" w:rsidTr="00FB0532">
        <w:trPr>
          <w:trHeight w:val="368"/>
        </w:trPr>
        <w:tc>
          <w:tcPr>
            <w:tcW w:w="10885" w:type="dxa"/>
            <w:gridSpan w:val="3"/>
            <w:shd w:val="clear" w:color="auto" w:fill="000000" w:themeFill="text1"/>
          </w:tcPr>
          <w:p w14:paraId="22844D4B" w14:textId="77777777" w:rsidR="008940E1" w:rsidRPr="008940E1" w:rsidRDefault="008940E1" w:rsidP="00FB0532">
            <w:pPr>
              <w:ind w:left="360"/>
              <w:jc w:val="center"/>
              <w:textAlignment w:val="baseline"/>
              <w:rPr>
                <w:rFonts w:ascii="Calibri" w:eastAsia="Times New Roman" w:hAnsi="Calibri" w:cs="Calibri"/>
                <w:b/>
                <w:bCs/>
                <w:sz w:val="28"/>
                <w:szCs w:val="28"/>
              </w:rPr>
            </w:pPr>
            <w:r w:rsidRPr="008940E1">
              <w:rPr>
                <w:rFonts w:ascii="Calibri" w:eastAsia="Times New Roman" w:hAnsi="Calibri" w:cs="Calibri"/>
                <w:b/>
                <w:bCs/>
                <w:sz w:val="28"/>
                <w:szCs w:val="28"/>
              </w:rPr>
              <w:t>Placement</w:t>
            </w:r>
          </w:p>
        </w:tc>
      </w:tr>
      <w:tr w:rsidR="008940E1" w:rsidRPr="008940E1" w14:paraId="487D7CBA" w14:textId="77777777" w:rsidTr="00FB0532">
        <w:trPr>
          <w:trHeight w:val="368"/>
        </w:trPr>
        <w:tc>
          <w:tcPr>
            <w:tcW w:w="759" w:type="dxa"/>
            <w:tcBorders>
              <w:top w:val="single" w:sz="4" w:space="0" w:color="auto"/>
              <w:left w:val="single" w:sz="4" w:space="0" w:color="auto"/>
              <w:bottom w:val="single" w:sz="4" w:space="0" w:color="auto"/>
              <w:right w:val="single" w:sz="4" w:space="0" w:color="auto"/>
            </w:tcBorders>
            <w:shd w:val="clear" w:color="auto" w:fill="auto"/>
          </w:tcPr>
          <w:p w14:paraId="3AFD66D4" w14:textId="77777777" w:rsidR="008940E1" w:rsidRPr="008940E1" w:rsidRDefault="008940E1" w:rsidP="00FB0532">
            <w:pPr>
              <w:rPr>
                <w:rFonts w:ascii="Calibri" w:eastAsia="Times New Roman" w:hAnsi="Calibri" w:cs="Calibri"/>
                <w:b/>
                <w:bCs/>
              </w:rPr>
            </w:pPr>
            <w:r w:rsidRPr="008940E1">
              <w:rPr>
                <w:rFonts w:ascii="Calibri" w:eastAsia="Times New Roman" w:hAnsi="Calibri" w:cs="Calibri"/>
                <w:b/>
                <w:bCs/>
                <w:color w:val="000000"/>
              </w:rPr>
              <w:t>1</w:t>
            </w:r>
            <w:r w:rsidRPr="008940E1">
              <w:rPr>
                <w:rFonts w:ascii="Calibri" w:eastAsia="Times New Roman" w:hAnsi="Calibri" w:cs="Calibri"/>
                <w:b/>
                <w:bCs/>
                <w:color w:val="000000"/>
                <w:vertAlign w:val="superscript"/>
              </w:rPr>
              <w:t>st</w:t>
            </w:r>
            <w:r w:rsidRPr="008940E1">
              <w:rPr>
                <w:rFonts w:ascii="Calibri" w:eastAsia="Times New Roman" w:hAnsi="Calibri" w:cs="Calibri"/>
                <w:b/>
                <w:bCs/>
                <w:color w:val="000000"/>
              </w:rPr>
              <w:t xml:space="preserve"> Year</w:t>
            </w:r>
          </w:p>
        </w:tc>
        <w:tc>
          <w:tcPr>
            <w:tcW w:w="10126" w:type="dxa"/>
            <w:gridSpan w:val="2"/>
            <w:tcBorders>
              <w:top w:val="single" w:sz="4" w:space="0" w:color="auto"/>
              <w:left w:val="single" w:sz="4" w:space="0" w:color="auto"/>
              <w:bottom w:val="single" w:sz="4" w:space="0" w:color="auto"/>
              <w:right w:val="single" w:sz="4" w:space="0" w:color="auto"/>
            </w:tcBorders>
            <w:shd w:val="clear" w:color="auto" w:fill="auto"/>
          </w:tcPr>
          <w:p w14:paraId="265E987A" w14:textId="1CEAC121" w:rsidR="008940E1" w:rsidRPr="008940E1" w:rsidRDefault="008940E1" w:rsidP="00FB0532">
            <w:pPr>
              <w:numPr>
                <w:ilvl w:val="0"/>
                <w:numId w:val="18"/>
              </w:numPr>
              <w:textAlignment w:val="baseline"/>
              <w:rPr>
                <w:rFonts w:ascii="Calibri" w:eastAsia="Times New Roman" w:hAnsi="Calibri" w:cs="Calibri"/>
                <w:color w:val="000000"/>
              </w:rPr>
            </w:pPr>
            <w:r w:rsidRPr="008940E1">
              <w:rPr>
                <w:rFonts w:ascii="Calibri" w:eastAsia="Times New Roman" w:hAnsi="Calibri" w:cs="Calibri"/>
                <w:color w:val="000000"/>
              </w:rPr>
              <w:t>Audit of Placement Data Collection processes with the Perkins Data and Grant</w:t>
            </w:r>
            <w:r w:rsidR="00CB7956">
              <w:rPr>
                <w:rFonts w:ascii="Calibri" w:eastAsia="Times New Roman" w:hAnsi="Calibri" w:cs="Calibri"/>
                <w:color w:val="000000"/>
              </w:rPr>
              <w:t>s</w:t>
            </w:r>
            <w:r w:rsidRPr="008940E1">
              <w:rPr>
                <w:rFonts w:ascii="Calibri" w:eastAsia="Times New Roman" w:hAnsi="Calibri" w:cs="Calibri"/>
                <w:color w:val="000000"/>
              </w:rPr>
              <w:t xml:space="preserve"> Manager</w:t>
            </w:r>
          </w:p>
          <w:p w14:paraId="160C4269" w14:textId="77777777" w:rsidR="008940E1" w:rsidRPr="008940E1" w:rsidRDefault="008940E1" w:rsidP="00FB0532">
            <w:pPr>
              <w:numPr>
                <w:ilvl w:val="0"/>
                <w:numId w:val="18"/>
              </w:numPr>
              <w:textAlignment w:val="baseline"/>
              <w:rPr>
                <w:rFonts w:ascii="Calibri" w:eastAsia="Times New Roman" w:hAnsi="Calibri" w:cs="Calibri"/>
                <w:color w:val="000000"/>
              </w:rPr>
            </w:pPr>
            <w:r w:rsidRPr="008940E1">
              <w:rPr>
                <w:rFonts w:ascii="Calibri" w:eastAsia="Times New Roman" w:hAnsi="Calibri" w:cs="Calibri"/>
                <w:color w:val="000000"/>
              </w:rPr>
              <w:t>Engage with SD DOE to identify best practices related to placement reporting.</w:t>
            </w:r>
          </w:p>
          <w:p w14:paraId="6F5C718F" w14:textId="109A3F96" w:rsidR="008940E1" w:rsidRPr="008940E1" w:rsidRDefault="008940E1" w:rsidP="00FB0532">
            <w:pPr>
              <w:numPr>
                <w:ilvl w:val="0"/>
                <w:numId w:val="18"/>
              </w:numPr>
              <w:textAlignment w:val="baseline"/>
              <w:rPr>
                <w:rFonts w:ascii="Calibri" w:eastAsia="Times New Roman" w:hAnsi="Calibri" w:cs="Calibri"/>
                <w:color w:val="000000"/>
              </w:rPr>
            </w:pPr>
            <w:r w:rsidRPr="008940E1">
              <w:rPr>
                <w:rFonts w:ascii="Calibri" w:eastAsia="Times New Roman" w:hAnsi="Calibri" w:cs="Calibri"/>
                <w:color w:val="000000"/>
              </w:rPr>
              <w:t xml:space="preserve">Submit a Placement Improvement </w:t>
            </w:r>
            <w:r w:rsidR="007C5235">
              <w:rPr>
                <w:rFonts w:ascii="Calibri" w:eastAsia="Times New Roman" w:hAnsi="Calibri" w:cs="Calibri"/>
                <w:color w:val="000000"/>
              </w:rPr>
              <w:t>Framework- Placement Plan</w:t>
            </w:r>
            <w:r w:rsidRPr="008940E1">
              <w:rPr>
                <w:rFonts w:ascii="Calibri" w:eastAsia="Times New Roman" w:hAnsi="Calibri" w:cs="Calibri"/>
                <w:color w:val="000000"/>
              </w:rPr>
              <w:t> </w:t>
            </w:r>
          </w:p>
        </w:tc>
      </w:tr>
      <w:tr w:rsidR="008940E1" w:rsidRPr="008940E1" w14:paraId="2BDD1926" w14:textId="77777777" w:rsidTr="00FB0532">
        <w:trPr>
          <w:trHeight w:val="368"/>
        </w:trPr>
        <w:tc>
          <w:tcPr>
            <w:tcW w:w="759" w:type="dxa"/>
            <w:tcBorders>
              <w:top w:val="single" w:sz="4" w:space="0" w:color="auto"/>
              <w:left w:val="single" w:sz="4" w:space="0" w:color="auto"/>
              <w:bottom w:val="single" w:sz="4" w:space="0" w:color="auto"/>
              <w:right w:val="single" w:sz="4" w:space="0" w:color="auto"/>
            </w:tcBorders>
            <w:shd w:val="clear" w:color="auto" w:fill="auto"/>
          </w:tcPr>
          <w:p w14:paraId="1126B621" w14:textId="77777777" w:rsidR="008940E1" w:rsidRPr="008940E1" w:rsidRDefault="008940E1" w:rsidP="00FB0532">
            <w:pPr>
              <w:rPr>
                <w:rFonts w:ascii="Calibri" w:eastAsia="Times New Roman" w:hAnsi="Calibri" w:cs="Calibri"/>
                <w:b/>
                <w:bCs/>
              </w:rPr>
            </w:pPr>
            <w:r w:rsidRPr="008940E1">
              <w:rPr>
                <w:rFonts w:ascii="Calibri" w:eastAsia="Times New Roman" w:hAnsi="Calibri" w:cs="Calibri"/>
                <w:b/>
                <w:bCs/>
                <w:color w:val="000000"/>
              </w:rPr>
              <w:t>2</w:t>
            </w:r>
            <w:r w:rsidRPr="008940E1">
              <w:rPr>
                <w:rFonts w:ascii="Calibri" w:eastAsia="Times New Roman" w:hAnsi="Calibri" w:cs="Calibri"/>
                <w:b/>
                <w:bCs/>
                <w:color w:val="000000"/>
                <w:vertAlign w:val="superscript"/>
              </w:rPr>
              <w:t>nd</w:t>
            </w:r>
            <w:r w:rsidRPr="008940E1">
              <w:rPr>
                <w:rFonts w:ascii="Calibri" w:eastAsia="Times New Roman" w:hAnsi="Calibri" w:cs="Calibri"/>
                <w:b/>
                <w:bCs/>
                <w:color w:val="000000"/>
              </w:rPr>
              <w:t xml:space="preserve"> Year</w:t>
            </w:r>
          </w:p>
        </w:tc>
        <w:tc>
          <w:tcPr>
            <w:tcW w:w="10126" w:type="dxa"/>
            <w:gridSpan w:val="2"/>
            <w:tcBorders>
              <w:top w:val="single" w:sz="4" w:space="0" w:color="auto"/>
              <w:left w:val="single" w:sz="4" w:space="0" w:color="auto"/>
              <w:bottom w:val="single" w:sz="4" w:space="0" w:color="auto"/>
              <w:right w:val="single" w:sz="4" w:space="0" w:color="auto"/>
            </w:tcBorders>
            <w:shd w:val="clear" w:color="auto" w:fill="auto"/>
          </w:tcPr>
          <w:p w14:paraId="1525B934" w14:textId="3DFFE46B" w:rsidR="008940E1" w:rsidRPr="008940E1" w:rsidRDefault="008940E1" w:rsidP="00FB0532">
            <w:pPr>
              <w:numPr>
                <w:ilvl w:val="0"/>
                <w:numId w:val="18"/>
              </w:numPr>
              <w:textAlignment w:val="baseline"/>
              <w:rPr>
                <w:rFonts w:ascii="Calibri" w:eastAsia="Times New Roman" w:hAnsi="Calibri" w:cs="Calibri"/>
                <w:color w:val="000000"/>
              </w:rPr>
            </w:pPr>
            <w:r w:rsidRPr="008940E1">
              <w:rPr>
                <w:rFonts w:ascii="Calibri" w:eastAsia="Times New Roman" w:hAnsi="Calibri" w:cs="Calibri"/>
                <w:color w:val="000000"/>
              </w:rPr>
              <w:t>Audit of Placement Data Collection processes with the Perkins Data and Grant</w:t>
            </w:r>
            <w:r w:rsidR="00CB7956">
              <w:rPr>
                <w:rFonts w:ascii="Calibri" w:eastAsia="Times New Roman" w:hAnsi="Calibri" w:cs="Calibri"/>
                <w:color w:val="000000"/>
              </w:rPr>
              <w:t>s</w:t>
            </w:r>
            <w:r w:rsidRPr="008940E1">
              <w:rPr>
                <w:rFonts w:ascii="Calibri" w:eastAsia="Times New Roman" w:hAnsi="Calibri" w:cs="Calibri"/>
                <w:color w:val="000000"/>
              </w:rPr>
              <w:t xml:space="preserve"> Manager</w:t>
            </w:r>
          </w:p>
          <w:p w14:paraId="633EAF9E" w14:textId="46008189" w:rsidR="008940E1" w:rsidRPr="008940E1" w:rsidRDefault="008940E1" w:rsidP="00FB0532">
            <w:pPr>
              <w:numPr>
                <w:ilvl w:val="0"/>
                <w:numId w:val="18"/>
              </w:numPr>
              <w:textAlignment w:val="baseline"/>
              <w:rPr>
                <w:rFonts w:ascii="Calibri" w:eastAsia="Times New Roman" w:hAnsi="Calibri" w:cs="Calibri"/>
                <w:color w:val="000000"/>
              </w:rPr>
            </w:pPr>
            <w:r w:rsidRPr="008940E1">
              <w:rPr>
                <w:rFonts w:ascii="Calibri" w:eastAsia="Times New Roman" w:hAnsi="Calibri" w:cs="Calibri"/>
                <w:color w:val="000000"/>
              </w:rPr>
              <w:t xml:space="preserve">Review and revise the </w:t>
            </w:r>
            <w:r w:rsidR="00F2068B">
              <w:rPr>
                <w:rFonts w:ascii="Calibri" w:eastAsia="Times New Roman" w:hAnsi="Calibri" w:cs="Calibri"/>
                <w:color w:val="000000"/>
              </w:rPr>
              <w:t>Program Improvement Framework- Placement Plan</w:t>
            </w:r>
          </w:p>
          <w:p w14:paraId="76E43549" w14:textId="31391456" w:rsidR="008940E1" w:rsidRPr="008940E1" w:rsidRDefault="003D2C66" w:rsidP="00FB0532">
            <w:pPr>
              <w:numPr>
                <w:ilvl w:val="0"/>
                <w:numId w:val="18"/>
              </w:numPr>
              <w:textAlignment w:val="baseline"/>
              <w:rPr>
                <w:rFonts w:ascii="Calibri" w:eastAsia="Times New Roman" w:hAnsi="Calibri" w:cs="Calibri"/>
                <w:color w:val="000000"/>
              </w:rPr>
            </w:pPr>
            <w:r>
              <w:rPr>
                <w:rFonts w:ascii="Calibri" w:eastAsia="Times New Roman" w:hAnsi="Calibri" w:cs="Calibri"/>
                <w:color w:val="000000"/>
              </w:rPr>
              <w:t>Placement data reporting must be approved prior to Program Approvals being issued for the upcoming fis</w:t>
            </w:r>
            <w:r w:rsidR="00C42470">
              <w:rPr>
                <w:rFonts w:ascii="Calibri" w:eastAsia="Times New Roman" w:hAnsi="Calibri" w:cs="Calibri"/>
                <w:color w:val="000000"/>
              </w:rPr>
              <w:t xml:space="preserve">cal year to ensure progress is being made. </w:t>
            </w:r>
          </w:p>
        </w:tc>
      </w:tr>
      <w:tr w:rsidR="008940E1" w:rsidRPr="008940E1" w14:paraId="5FC3B4E8" w14:textId="77777777" w:rsidTr="00FB0532">
        <w:trPr>
          <w:trHeight w:val="368"/>
        </w:trPr>
        <w:tc>
          <w:tcPr>
            <w:tcW w:w="759" w:type="dxa"/>
            <w:tcBorders>
              <w:top w:val="single" w:sz="4" w:space="0" w:color="auto"/>
              <w:left w:val="single" w:sz="4" w:space="0" w:color="auto"/>
              <w:bottom w:val="single" w:sz="4" w:space="0" w:color="auto"/>
              <w:right w:val="single" w:sz="4" w:space="0" w:color="auto"/>
            </w:tcBorders>
            <w:shd w:val="clear" w:color="auto" w:fill="auto"/>
          </w:tcPr>
          <w:p w14:paraId="5C1A825F" w14:textId="77777777" w:rsidR="008940E1" w:rsidRPr="008940E1" w:rsidRDefault="008940E1" w:rsidP="00FB0532">
            <w:pPr>
              <w:rPr>
                <w:rFonts w:ascii="Calibri" w:eastAsia="Times New Roman" w:hAnsi="Calibri" w:cs="Calibri"/>
                <w:b/>
                <w:bCs/>
              </w:rPr>
            </w:pPr>
            <w:r w:rsidRPr="008940E1">
              <w:rPr>
                <w:rFonts w:ascii="Calibri" w:eastAsia="Times New Roman" w:hAnsi="Calibri" w:cs="Calibri"/>
                <w:b/>
                <w:bCs/>
                <w:color w:val="000000"/>
              </w:rPr>
              <w:t>3</w:t>
            </w:r>
            <w:r w:rsidRPr="008940E1">
              <w:rPr>
                <w:rFonts w:ascii="Calibri" w:eastAsia="Times New Roman" w:hAnsi="Calibri" w:cs="Calibri"/>
                <w:b/>
                <w:bCs/>
                <w:color w:val="000000"/>
                <w:vertAlign w:val="superscript"/>
              </w:rPr>
              <w:t>rd</w:t>
            </w:r>
            <w:r w:rsidRPr="008940E1">
              <w:rPr>
                <w:rFonts w:ascii="Calibri" w:eastAsia="Times New Roman" w:hAnsi="Calibri" w:cs="Calibri"/>
                <w:b/>
                <w:bCs/>
                <w:color w:val="000000"/>
              </w:rPr>
              <w:t xml:space="preserve"> Year</w:t>
            </w:r>
          </w:p>
        </w:tc>
        <w:tc>
          <w:tcPr>
            <w:tcW w:w="10126" w:type="dxa"/>
            <w:gridSpan w:val="2"/>
            <w:tcBorders>
              <w:top w:val="single" w:sz="4" w:space="0" w:color="auto"/>
              <w:left w:val="single" w:sz="4" w:space="0" w:color="auto"/>
              <w:bottom w:val="single" w:sz="4" w:space="0" w:color="auto"/>
              <w:right w:val="single" w:sz="4" w:space="0" w:color="auto"/>
            </w:tcBorders>
            <w:shd w:val="clear" w:color="auto" w:fill="auto"/>
          </w:tcPr>
          <w:p w14:paraId="00085FDD" w14:textId="1B704B27" w:rsidR="008940E1" w:rsidRPr="008940E1" w:rsidRDefault="008940E1" w:rsidP="00FB0532">
            <w:pPr>
              <w:numPr>
                <w:ilvl w:val="0"/>
                <w:numId w:val="18"/>
              </w:numPr>
              <w:textAlignment w:val="baseline"/>
              <w:rPr>
                <w:rFonts w:ascii="Calibri" w:eastAsia="Times New Roman" w:hAnsi="Calibri" w:cs="Calibri"/>
                <w:color w:val="000000"/>
              </w:rPr>
            </w:pPr>
            <w:r w:rsidRPr="008940E1">
              <w:rPr>
                <w:rFonts w:ascii="Calibri" w:eastAsia="Times New Roman" w:hAnsi="Calibri" w:cs="Calibri"/>
                <w:color w:val="000000"/>
              </w:rPr>
              <w:t>Audit of Placement Data Collection processes with the Perkins Data and Grant</w:t>
            </w:r>
            <w:r w:rsidR="00CB7956">
              <w:rPr>
                <w:rFonts w:ascii="Calibri" w:eastAsia="Times New Roman" w:hAnsi="Calibri" w:cs="Calibri"/>
                <w:color w:val="000000"/>
              </w:rPr>
              <w:t>s</w:t>
            </w:r>
            <w:r w:rsidRPr="008940E1">
              <w:rPr>
                <w:rFonts w:ascii="Calibri" w:eastAsia="Times New Roman" w:hAnsi="Calibri" w:cs="Calibri"/>
                <w:color w:val="000000"/>
              </w:rPr>
              <w:t xml:space="preserve"> Manage</w:t>
            </w:r>
            <w:r w:rsidR="00472259">
              <w:rPr>
                <w:rFonts w:ascii="Calibri" w:eastAsia="Times New Roman" w:hAnsi="Calibri" w:cs="Calibri"/>
                <w:color w:val="000000"/>
              </w:rPr>
              <w:t>r</w:t>
            </w:r>
          </w:p>
          <w:p w14:paraId="5C526398" w14:textId="0FB69880" w:rsidR="008940E1" w:rsidRPr="008940E1" w:rsidRDefault="00C42470" w:rsidP="00FB0532">
            <w:pPr>
              <w:numPr>
                <w:ilvl w:val="0"/>
                <w:numId w:val="18"/>
              </w:numPr>
              <w:textAlignment w:val="baseline"/>
              <w:rPr>
                <w:rFonts w:ascii="Calibri" w:eastAsia="Times New Roman" w:hAnsi="Calibri" w:cs="Calibri"/>
                <w:color w:val="000000"/>
              </w:rPr>
            </w:pPr>
            <w:r>
              <w:rPr>
                <w:rFonts w:ascii="Calibri" w:eastAsia="Times New Roman" w:hAnsi="Calibri" w:cs="Calibri"/>
                <w:color w:val="000000"/>
              </w:rPr>
              <w:t xml:space="preserve">Placement data reporting must be approved </w:t>
            </w:r>
            <w:r w:rsidR="002E6C29">
              <w:rPr>
                <w:rFonts w:ascii="Calibri" w:eastAsia="Times New Roman" w:hAnsi="Calibri" w:cs="Calibri"/>
                <w:color w:val="000000"/>
              </w:rPr>
              <w:t xml:space="preserve">by the Perkins Data and Grants Manager </w:t>
            </w:r>
            <w:r>
              <w:rPr>
                <w:rFonts w:ascii="Calibri" w:eastAsia="Times New Roman" w:hAnsi="Calibri" w:cs="Calibri"/>
                <w:color w:val="000000"/>
              </w:rPr>
              <w:t xml:space="preserve">prior to </w:t>
            </w:r>
            <w:r w:rsidR="002E735B">
              <w:rPr>
                <w:rFonts w:ascii="Calibri" w:eastAsia="Times New Roman" w:hAnsi="Calibri" w:cs="Calibri"/>
                <w:color w:val="000000"/>
              </w:rPr>
              <w:t>p</w:t>
            </w:r>
            <w:r>
              <w:rPr>
                <w:rFonts w:ascii="Calibri" w:eastAsia="Times New Roman" w:hAnsi="Calibri" w:cs="Calibri"/>
                <w:color w:val="000000"/>
              </w:rPr>
              <w:t xml:space="preserve">rogram </w:t>
            </w:r>
            <w:r w:rsidR="002E735B">
              <w:rPr>
                <w:rFonts w:ascii="Calibri" w:eastAsia="Times New Roman" w:hAnsi="Calibri" w:cs="Calibri"/>
                <w:color w:val="000000"/>
              </w:rPr>
              <w:t>a</w:t>
            </w:r>
            <w:r>
              <w:rPr>
                <w:rFonts w:ascii="Calibri" w:eastAsia="Times New Roman" w:hAnsi="Calibri" w:cs="Calibri"/>
                <w:color w:val="000000"/>
              </w:rPr>
              <w:t>pprovals being issued for the upcoming fiscal year</w:t>
            </w:r>
            <w:r w:rsidR="002E6C29">
              <w:rPr>
                <w:rFonts w:ascii="Calibri" w:eastAsia="Times New Roman" w:hAnsi="Calibri" w:cs="Calibri"/>
                <w:color w:val="000000"/>
              </w:rPr>
              <w:t>.</w:t>
            </w:r>
          </w:p>
        </w:tc>
      </w:tr>
      <w:tr w:rsidR="008940E1" w:rsidRPr="008940E1" w14:paraId="42B665E9" w14:textId="77777777" w:rsidTr="00FB0532">
        <w:trPr>
          <w:trHeight w:val="368"/>
        </w:trPr>
        <w:tc>
          <w:tcPr>
            <w:tcW w:w="759" w:type="dxa"/>
            <w:tcBorders>
              <w:top w:val="single" w:sz="4" w:space="0" w:color="auto"/>
              <w:left w:val="single" w:sz="4" w:space="0" w:color="auto"/>
              <w:bottom w:val="single" w:sz="4" w:space="0" w:color="auto"/>
              <w:right w:val="single" w:sz="4" w:space="0" w:color="auto"/>
            </w:tcBorders>
            <w:shd w:val="clear" w:color="auto" w:fill="auto"/>
          </w:tcPr>
          <w:p w14:paraId="720004F7" w14:textId="77777777" w:rsidR="008940E1" w:rsidRPr="008940E1" w:rsidRDefault="008940E1" w:rsidP="00FB0532">
            <w:pPr>
              <w:rPr>
                <w:rFonts w:ascii="Calibri" w:eastAsia="Times New Roman" w:hAnsi="Calibri" w:cs="Calibri"/>
                <w:b/>
                <w:bCs/>
              </w:rPr>
            </w:pPr>
            <w:r w:rsidRPr="008940E1">
              <w:rPr>
                <w:rFonts w:ascii="Calibri" w:eastAsia="Times New Roman" w:hAnsi="Calibri" w:cs="Calibri"/>
                <w:b/>
                <w:bCs/>
              </w:rPr>
              <w:t>4</w:t>
            </w:r>
            <w:r w:rsidRPr="008940E1">
              <w:rPr>
                <w:rFonts w:ascii="Calibri" w:eastAsia="Times New Roman" w:hAnsi="Calibri" w:cs="Calibri"/>
                <w:b/>
                <w:bCs/>
                <w:vertAlign w:val="superscript"/>
              </w:rPr>
              <w:t>th</w:t>
            </w:r>
            <w:r w:rsidRPr="008940E1">
              <w:rPr>
                <w:rFonts w:ascii="Calibri" w:eastAsia="Times New Roman" w:hAnsi="Calibri" w:cs="Calibri"/>
                <w:b/>
                <w:bCs/>
              </w:rPr>
              <w:t xml:space="preserve"> Year</w:t>
            </w:r>
          </w:p>
        </w:tc>
        <w:tc>
          <w:tcPr>
            <w:tcW w:w="10126" w:type="dxa"/>
            <w:gridSpan w:val="2"/>
            <w:tcBorders>
              <w:top w:val="single" w:sz="4" w:space="0" w:color="auto"/>
              <w:left w:val="single" w:sz="4" w:space="0" w:color="auto"/>
              <w:bottom w:val="single" w:sz="4" w:space="0" w:color="auto"/>
              <w:right w:val="single" w:sz="4" w:space="0" w:color="auto"/>
            </w:tcBorders>
            <w:shd w:val="clear" w:color="auto" w:fill="auto"/>
          </w:tcPr>
          <w:p w14:paraId="05CB6C06" w14:textId="467FBE99" w:rsidR="008940E1" w:rsidRPr="008940E1" w:rsidRDefault="008940E1" w:rsidP="00FB0532">
            <w:pPr>
              <w:numPr>
                <w:ilvl w:val="0"/>
                <w:numId w:val="18"/>
              </w:numPr>
              <w:textAlignment w:val="baseline"/>
              <w:rPr>
                <w:rFonts w:ascii="Calibri" w:eastAsia="Times New Roman" w:hAnsi="Calibri" w:cs="Calibri"/>
              </w:rPr>
            </w:pPr>
            <w:r w:rsidRPr="008940E1">
              <w:rPr>
                <w:rFonts w:ascii="Calibri" w:eastAsia="Times New Roman" w:hAnsi="Calibri" w:cs="Calibri"/>
              </w:rPr>
              <w:t xml:space="preserve">The state will determine conditions and expectations the entity must comply by </w:t>
            </w:r>
            <w:r w:rsidR="0050435B" w:rsidRPr="008940E1">
              <w:rPr>
                <w:rFonts w:ascii="Calibri" w:eastAsia="Times New Roman" w:hAnsi="Calibri" w:cs="Calibri"/>
              </w:rPr>
              <w:t>to</w:t>
            </w:r>
            <w:r w:rsidRPr="008940E1">
              <w:rPr>
                <w:rFonts w:ascii="Calibri" w:eastAsia="Times New Roman" w:hAnsi="Calibri" w:cs="Calibri"/>
              </w:rPr>
              <w:t xml:space="preserve"> continue receiving Perkins funding.</w:t>
            </w:r>
          </w:p>
          <w:p w14:paraId="67FBD20F" w14:textId="77777777" w:rsidR="008940E1" w:rsidRPr="008940E1" w:rsidRDefault="008940E1" w:rsidP="00FB0532">
            <w:pPr>
              <w:textAlignment w:val="baseline"/>
              <w:rPr>
                <w:rFonts w:ascii="Calibri" w:eastAsia="Times New Roman" w:hAnsi="Calibri" w:cs="Calibri"/>
              </w:rPr>
            </w:pPr>
          </w:p>
        </w:tc>
      </w:tr>
      <w:tr w:rsidR="008940E1" w:rsidRPr="008940E1" w14:paraId="782C9E25" w14:textId="77777777" w:rsidTr="00FB0532">
        <w:trPr>
          <w:trHeight w:val="368"/>
        </w:trPr>
        <w:tc>
          <w:tcPr>
            <w:tcW w:w="10885" w:type="dxa"/>
            <w:gridSpan w:val="3"/>
            <w:shd w:val="clear" w:color="auto" w:fill="000000" w:themeFill="text1"/>
          </w:tcPr>
          <w:p w14:paraId="6A707B07" w14:textId="77777777" w:rsidR="008940E1" w:rsidRPr="008940E1" w:rsidRDefault="008940E1" w:rsidP="00FB0532">
            <w:pPr>
              <w:ind w:left="360"/>
              <w:jc w:val="center"/>
              <w:textAlignment w:val="baseline"/>
              <w:rPr>
                <w:rFonts w:ascii="Calibri" w:eastAsia="Times New Roman" w:hAnsi="Calibri" w:cs="Calibri"/>
                <w:b/>
                <w:bCs/>
                <w:sz w:val="28"/>
                <w:szCs w:val="28"/>
              </w:rPr>
            </w:pPr>
            <w:r w:rsidRPr="008940E1">
              <w:rPr>
                <w:rFonts w:ascii="Calibri" w:eastAsia="Times New Roman" w:hAnsi="Calibri" w:cs="Calibri"/>
                <w:b/>
                <w:bCs/>
                <w:sz w:val="28"/>
                <w:szCs w:val="28"/>
              </w:rPr>
              <w:t>Work Based Learning</w:t>
            </w:r>
          </w:p>
        </w:tc>
      </w:tr>
      <w:tr w:rsidR="008940E1" w:rsidRPr="008940E1" w14:paraId="2FDD89C5" w14:textId="77777777" w:rsidTr="00FB0532">
        <w:trPr>
          <w:trHeight w:val="368"/>
        </w:trPr>
        <w:tc>
          <w:tcPr>
            <w:tcW w:w="985" w:type="dxa"/>
            <w:gridSpan w:val="2"/>
            <w:tcBorders>
              <w:top w:val="single" w:sz="4" w:space="0" w:color="auto"/>
              <w:left w:val="single" w:sz="4" w:space="0" w:color="auto"/>
              <w:bottom w:val="single" w:sz="4" w:space="0" w:color="auto"/>
              <w:right w:val="single" w:sz="4" w:space="0" w:color="auto"/>
            </w:tcBorders>
            <w:shd w:val="clear" w:color="auto" w:fill="auto"/>
          </w:tcPr>
          <w:p w14:paraId="62BBF324" w14:textId="77777777" w:rsidR="008940E1" w:rsidRPr="008940E1" w:rsidRDefault="008940E1" w:rsidP="00FB0532">
            <w:pPr>
              <w:rPr>
                <w:rFonts w:ascii="Calibri" w:eastAsia="Times New Roman" w:hAnsi="Calibri" w:cs="Calibri"/>
                <w:b/>
                <w:bCs/>
              </w:rPr>
            </w:pPr>
            <w:r w:rsidRPr="008940E1">
              <w:rPr>
                <w:rFonts w:ascii="Calibri" w:eastAsia="Times New Roman" w:hAnsi="Calibri" w:cs="Calibri"/>
                <w:b/>
                <w:bCs/>
                <w:color w:val="000000"/>
              </w:rPr>
              <w:t>1</w:t>
            </w:r>
            <w:r w:rsidRPr="008940E1">
              <w:rPr>
                <w:rFonts w:ascii="Calibri" w:eastAsia="Times New Roman" w:hAnsi="Calibri" w:cs="Calibri"/>
                <w:b/>
                <w:bCs/>
                <w:color w:val="000000"/>
                <w:vertAlign w:val="superscript"/>
              </w:rPr>
              <w:t>st</w:t>
            </w:r>
            <w:r w:rsidRPr="008940E1">
              <w:rPr>
                <w:rFonts w:ascii="Calibri" w:eastAsia="Times New Roman" w:hAnsi="Calibri" w:cs="Calibri"/>
                <w:b/>
                <w:bCs/>
                <w:color w:val="000000"/>
              </w:rPr>
              <w:t xml:space="preserve"> Year</w:t>
            </w:r>
          </w:p>
        </w:tc>
        <w:tc>
          <w:tcPr>
            <w:tcW w:w="9900" w:type="dxa"/>
            <w:tcBorders>
              <w:top w:val="single" w:sz="4" w:space="0" w:color="auto"/>
              <w:left w:val="single" w:sz="4" w:space="0" w:color="auto"/>
              <w:bottom w:val="single" w:sz="4" w:space="0" w:color="auto"/>
              <w:right w:val="single" w:sz="4" w:space="0" w:color="auto"/>
            </w:tcBorders>
            <w:shd w:val="clear" w:color="auto" w:fill="auto"/>
          </w:tcPr>
          <w:p w14:paraId="5F6B961A" w14:textId="77777777" w:rsidR="008940E1" w:rsidRPr="008940E1" w:rsidRDefault="008940E1" w:rsidP="00FB0532">
            <w:pPr>
              <w:numPr>
                <w:ilvl w:val="0"/>
                <w:numId w:val="13"/>
              </w:numPr>
              <w:textAlignment w:val="baseline"/>
              <w:rPr>
                <w:rFonts w:ascii="Calibri" w:eastAsia="Times New Roman" w:hAnsi="Calibri" w:cs="Calibri"/>
                <w:color w:val="000000"/>
              </w:rPr>
            </w:pPr>
            <w:r w:rsidRPr="008940E1">
              <w:rPr>
                <w:rFonts w:ascii="Calibri" w:eastAsia="Times New Roman" w:hAnsi="Calibri" w:cs="Calibri"/>
                <w:color w:val="000000"/>
              </w:rPr>
              <w:t>Review WBL/Capstone Course offerings including structure, scheduling, course codes being used and barriers for special populations</w:t>
            </w:r>
          </w:p>
          <w:p w14:paraId="3D6A3E1C" w14:textId="77777777" w:rsidR="008940E1" w:rsidRPr="008940E1" w:rsidRDefault="008940E1" w:rsidP="00FB0532">
            <w:pPr>
              <w:numPr>
                <w:ilvl w:val="0"/>
                <w:numId w:val="17"/>
              </w:numPr>
              <w:textAlignment w:val="baseline"/>
              <w:rPr>
                <w:rFonts w:ascii="Calibri" w:eastAsia="Times New Roman" w:hAnsi="Calibri" w:cs="Calibri"/>
              </w:rPr>
            </w:pPr>
            <w:r w:rsidRPr="008940E1">
              <w:rPr>
                <w:rFonts w:ascii="Calibri" w:eastAsia="Times New Roman" w:hAnsi="Calibri" w:cs="Calibri"/>
                <w:color w:val="000000"/>
              </w:rPr>
              <w:t>Review changes which would expand WBL course availability</w:t>
            </w:r>
          </w:p>
        </w:tc>
      </w:tr>
      <w:tr w:rsidR="008940E1" w:rsidRPr="008940E1" w14:paraId="49CF9626" w14:textId="77777777" w:rsidTr="00FB0532">
        <w:trPr>
          <w:trHeight w:val="368"/>
        </w:trPr>
        <w:tc>
          <w:tcPr>
            <w:tcW w:w="985" w:type="dxa"/>
            <w:gridSpan w:val="2"/>
            <w:tcBorders>
              <w:top w:val="single" w:sz="4" w:space="0" w:color="auto"/>
              <w:left w:val="single" w:sz="4" w:space="0" w:color="auto"/>
              <w:bottom w:val="single" w:sz="4" w:space="0" w:color="auto"/>
              <w:right w:val="single" w:sz="4" w:space="0" w:color="auto"/>
            </w:tcBorders>
            <w:shd w:val="clear" w:color="auto" w:fill="auto"/>
          </w:tcPr>
          <w:p w14:paraId="60FB1CFC" w14:textId="77777777" w:rsidR="008940E1" w:rsidRPr="008940E1" w:rsidRDefault="008940E1" w:rsidP="00FB0532">
            <w:pPr>
              <w:rPr>
                <w:rFonts w:ascii="Calibri" w:eastAsia="Times New Roman" w:hAnsi="Calibri" w:cs="Calibri"/>
                <w:b/>
                <w:bCs/>
              </w:rPr>
            </w:pPr>
            <w:r w:rsidRPr="008940E1">
              <w:rPr>
                <w:rFonts w:ascii="Calibri" w:eastAsia="Times New Roman" w:hAnsi="Calibri" w:cs="Calibri"/>
                <w:b/>
                <w:bCs/>
                <w:color w:val="000000"/>
              </w:rPr>
              <w:t>2</w:t>
            </w:r>
            <w:r w:rsidRPr="008940E1">
              <w:rPr>
                <w:rFonts w:ascii="Calibri" w:eastAsia="Times New Roman" w:hAnsi="Calibri" w:cs="Calibri"/>
                <w:b/>
                <w:bCs/>
                <w:color w:val="000000"/>
                <w:vertAlign w:val="superscript"/>
              </w:rPr>
              <w:t>nd</w:t>
            </w:r>
            <w:r w:rsidRPr="008940E1">
              <w:rPr>
                <w:rFonts w:ascii="Calibri" w:eastAsia="Times New Roman" w:hAnsi="Calibri" w:cs="Calibri"/>
                <w:b/>
                <w:bCs/>
                <w:color w:val="000000"/>
              </w:rPr>
              <w:t xml:space="preserve"> Year</w:t>
            </w:r>
          </w:p>
        </w:tc>
        <w:tc>
          <w:tcPr>
            <w:tcW w:w="9900" w:type="dxa"/>
            <w:tcBorders>
              <w:top w:val="single" w:sz="4" w:space="0" w:color="auto"/>
              <w:left w:val="single" w:sz="4" w:space="0" w:color="auto"/>
              <w:bottom w:val="single" w:sz="4" w:space="0" w:color="auto"/>
              <w:right w:val="single" w:sz="4" w:space="0" w:color="auto"/>
            </w:tcBorders>
            <w:shd w:val="clear" w:color="auto" w:fill="auto"/>
          </w:tcPr>
          <w:p w14:paraId="1C93E842" w14:textId="77777777" w:rsidR="008940E1" w:rsidRPr="008940E1" w:rsidRDefault="008940E1" w:rsidP="00FB0532">
            <w:pPr>
              <w:numPr>
                <w:ilvl w:val="0"/>
                <w:numId w:val="14"/>
              </w:numPr>
              <w:textAlignment w:val="baseline"/>
              <w:rPr>
                <w:rFonts w:ascii="Calibri" w:eastAsia="Times New Roman" w:hAnsi="Calibri" w:cs="Calibri"/>
                <w:color w:val="000000"/>
              </w:rPr>
            </w:pPr>
            <w:r w:rsidRPr="008940E1">
              <w:rPr>
                <w:rFonts w:ascii="Calibri" w:eastAsia="Times New Roman" w:hAnsi="Calibri" w:cs="Calibri"/>
                <w:color w:val="000000"/>
              </w:rPr>
              <w:t>Review WBL/Capstone Course offerings including structure, scheduling, course codes being used and barriers for special populations</w:t>
            </w:r>
          </w:p>
          <w:p w14:paraId="1AC8F985" w14:textId="77777777" w:rsidR="00E6754A" w:rsidRDefault="008940E1" w:rsidP="00E6754A">
            <w:pPr>
              <w:numPr>
                <w:ilvl w:val="0"/>
                <w:numId w:val="14"/>
              </w:numPr>
              <w:textAlignment w:val="baseline"/>
              <w:rPr>
                <w:rFonts w:ascii="Calibri" w:eastAsia="Times New Roman" w:hAnsi="Calibri" w:cs="Calibri"/>
                <w:color w:val="000000"/>
              </w:rPr>
            </w:pPr>
            <w:r w:rsidRPr="008940E1">
              <w:rPr>
                <w:rFonts w:ascii="Calibri" w:eastAsia="Times New Roman" w:hAnsi="Calibri" w:cs="Calibri"/>
                <w:color w:val="000000"/>
              </w:rPr>
              <w:t>Review changes which would expand WBL course availability</w:t>
            </w:r>
          </w:p>
          <w:p w14:paraId="0ABB2D90" w14:textId="689798AC" w:rsidR="008940E1" w:rsidRPr="00E6754A" w:rsidRDefault="008940E1" w:rsidP="00E6754A">
            <w:pPr>
              <w:numPr>
                <w:ilvl w:val="0"/>
                <w:numId w:val="14"/>
              </w:numPr>
              <w:textAlignment w:val="baseline"/>
              <w:rPr>
                <w:rFonts w:ascii="Calibri" w:eastAsia="Times New Roman" w:hAnsi="Calibri" w:cs="Calibri"/>
                <w:color w:val="000000"/>
              </w:rPr>
            </w:pPr>
            <w:r w:rsidRPr="00E6754A">
              <w:rPr>
                <w:rFonts w:ascii="Calibri" w:eastAsia="Times New Roman" w:hAnsi="Calibri" w:cs="Calibri"/>
                <w:color w:val="000000"/>
              </w:rPr>
              <w:t>Invest a portion of the Perkins Budget into planning for, implementing and supporting teachers in increasing WBL course availability</w:t>
            </w:r>
          </w:p>
        </w:tc>
      </w:tr>
      <w:tr w:rsidR="008940E1" w:rsidRPr="008940E1" w14:paraId="4F2D460A" w14:textId="77777777" w:rsidTr="00FB0532">
        <w:trPr>
          <w:trHeight w:val="368"/>
        </w:trPr>
        <w:tc>
          <w:tcPr>
            <w:tcW w:w="985" w:type="dxa"/>
            <w:gridSpan w:val="2"/>
            <w:tcBorders>
              <w:top w:val="single" w:sz="4" w:space="0" w:color="auto"/>
              <w:left w:val="single" w:sz="4" w:space="0" w:color="auto"/>
              <w:bottom w:val="single" w:sz="4" w:space="0" w:color="auto"/>
              <w:right w:val="single" w:sz="4" w:space="0" w:color="auto"/>
            </w:tcBorders>
            <w:shd w:val="clear" w:color="auto" w:fill="auto"/>
          </w:tcPr>
          <w:p w14:paraId="3BC0096B" w14:textId="77777777" w:rsidR="008940E1" w:rsidRPr="008940E1" w:rsidRDefault="008940E1" w:rsidP="00FB0532">
            <w:pPr>
              <w:rPr>
                <w:rFonts w:ascii="Calibri" w:eastAsia="Times New Roman" w:hAnsi="Calibri" w:cs="Calibri"/>
                <w:b/>
                <w:bCs/>
              </w:rPr>
            </w:pPr>
            <w:r w:rsidRPr="008940E1">
              <w:rPr>
                <w:rFonts w:ascii="Calibri" w:eastAsia="Times New Roman" w:hAnsi="Calibri" w:cs="Calibri"/>
                <w:b/>
                <w:bCs/>
                <w:color w:val="000000"/>
              </w:rPr>
              <w:t>3</w:t>
            </w:r>
            <w:r w:rsidRPr="008940E1">
              <w:rPr>
                <w:rFonts w:ascii="Calibri" w:eastAsia="Times New Roman" w:hAnsi="Calibri" w:cs="Calibri"/>
                <w:b/>
                <w:bCs/>
                <w:color w:val="000000"/>
                <w:vertAlign w:val="superscript"/>
              </w:rPr>
              <w:t>rd</w:t>
            </w:r>
            <w:r w:rsidRPr="008940E1">
              <w:rPr>
                <w:rFonts w:ascii="Calibri" w:eastAsia="Times New Roman" w:hAnsi="Calibri" w:cs="Calibri"/>
                <w:b/>
                <w:bCs/>
                <w:color w:val="000000"/>
              </w:rPr>
              <w:t xml:space="preserve"> Year</w:t>
            </w:r>
          </w:p>
        </w:tc>
        <w:tc>
          <w:tcPr>
            <w:tcW w:w="9900" w:type="dxa"/>
            <w:tcBorders>
              <w:top w:val="single" w:sz="4" w:space="0" w:color="auto"/>
              <w:left w:val="single" w:sz="4" w:space="0" w:color="auto"/>
              <w:bottom w:val="single" w:sz="4" w:space="0" w:color="auto"/>
              <w:right w:val="single" w:sz="4" w:space="0" w:color="auto"/>
            </w:tcBorders>
            <w:shd w:val="clear" w:color="auto" w:fill="auto"/>
          </w:tcPr>
          <w:p w14:paraId="51363100" w14:textId="77777777" w:rsidR="008940E1" w:rsidRPr="008940E1" w:rsidRDefault="008940E1" w:rsidP="00FB0532">
            <w:pPr>
              <w:numPr>
                <w:ilvl w:val="0"/>
                <w:numId w:val="15"/>
              </w:numPr>
              <w:textAlignment w:val="baseline"/>
              <w:rPr>
                <w:rFonts w:ascii="Calibri" w:eastAsia="Times New Roman" w:hAnsi="Calibri" w:cs="Calibri"/>
                <w:color w:val="000000"/>
              </w:rPr>
            </w:pPr>
            <w:r w:rsidRPr="008940E1">
              <w:rPr>
                <w:rFonts w:ascii="Calibri" w:eastAsia="Times New Roman" w:hAnsi="Calibri" w:cs="Calibri"/>
                <w:color w:val="000000"/>
              </w:rPr>
              <w:t>Review WBL/Capstone Course offerings including structure, scheduling, course codes being used and barriers for special populations</w:t>
            </w:r>
          </w:p>
          <w:p w14:paraId="2702B2C1" w14:textId="77777777" w:rsidR="008940E1" w:rsidRPr="008940E1" w:rsidRDefault="008940E1" w:rsidP="00FB0532">
            <w:pPr>
              <w:numPr>
                <w:ilvl w:val="0"/>
                <w:numId w:val="15"/>
              </w:numPr>
              <w:textAlignment w:val="baseline"/>
              <w:rPr>
                <w:rFonts w:ascii="Calibri" w:eastAsia="Times New Roman" w:hAnsi="Calibri" w:cs="Calibri"/>
                <w:color w:val="000000"/>
              </w:rPr>
            </w:pPr>
            <w:r w:rsidRPr="008940E1">
              <w:rPr>
                <w:rFonts w:ascii="Calibri" w:eastAsia="Times New Roman" w:hAnsi="Calibri" w:cs="Calibri"/>
                <w:color w:val="000000"/>
              </w:rPr>
              <w:t>Review changes which would expand WBL course availability</w:t>
            </w:r>
          </w:p>
          <w:p w14:paraId="173B0B4D" w14:textId="2445A052" w:rsidR="008940E1" w:rsidRPr="008940E1" w:rsidRDefault="008940E1" w:rsidP="00FB0532">
            <w:pPr>
              <w:numPr>
                <w:ilvl w:val="0"/>
                <w:numId w:val="15"/>
              </w:numPr>
              <w:textAlignment w:val="baseline"/>
              <w:rPr>
                <w:rFonts w:ascii="Calibri" w:eastAsia="Times New Roman" w:hAnsi="Calibri" w:cs="Calibri"/>
                <w:color w:val="000000"/>
              </w:rPr>
            </w:pPr>
            <w:r w:rsidRPr="008940E1">
              <w:rPr>
                <w:rFonts w:ascii="Calibri" w:eastAsia="Times New Roman" w:hAnsi="Calibri" w:cs="Calibri"/>
                <w:color w:val="000000"/>
              </w:rPr>
              <w:t>Invest a minimum of 10% of the Perkins Budget into planning for, implementing and supporting teachers in increasing WBL course availability</w:t>
            </w:r>
          </w:p>
        </w:tc>
      </w:tr>
      <w:tr w:rsidR="008940E1" w:rsidRPr="008940E1" w14:paraId="163A5BCE" w14:textId="77777777" w:rsidTr="00FB0532">
        <w:trPr>
          <w:trHeight w:val="368"/>
        </w:trPr>
        <w:tc>
          <w:tcPr>
            <w:tcW w:w="985" w:type="dxa"/>
            <w:gridSpan w:val="2"/>
            <w:tcBorders>
              <w:top w:val="single" w:sz="4" w:space="0" w:color="auto"/>
              <w:left w:val="single" w:sz="4" w:space="0" w:color="auto"/>
              <w:bottom w:val="single" w:sz="4" w:space="0" w:color="auto"/>
              <w:right w:val="single" w:sz="4" w:space="0" w:color="auto"/>
            </w:tcBorders>
            <w:shd w:val="clear" w:color="auto" w:fill="auto"/>
          </w:tcPr>
          <w:p w14:paraId="16E4C8E6" w14:textId="77777777" w:rsidR="008940E1" w:rsidRPr="008940E1" w:rsidRDefault="008940E1" w:rsidP="00FB0532">
            <w:pPr>
              <w:rPr>
                <w:rFonts w:ascii="Calibri" w:eastAsia="Times New Roman" w:hAnsi="Calibri" w:cs="Calibri"/>
                <w:b/>
                <w:bCs/>
              </w:rPr>
            </w:pPr>
            <w:r w:rsidRPr="008940E1">
              <w:rPr>
                <w:rFonts w:ascii="Calibri" w:eastAsia="Times New Roman" w:hAnsi="Calibri" w:cs="Calibri"/>
                <w:b/>
                <w:bCs/>
              </w:rPr>
              <w:t>4</w:t>
            </w:r>
            <w:r w:rsidRPr="008940E1">
              <w:rPr>
                <w:rFonts w:ascii="Calibri" w:eastAsia="Times New Roman" w:hAnsi="Calibri" w:cs="Calibri"/>
                <w:b/>
                <w:bCs/>
                <w:vertAlign w:val="superscript"/>
              </w:rPr>
              <w:t>th</w:t>
            </w:r>
            <w:r w:rsidRPr="008940E1">
              <w:rPr>
                <w:rFonts w:ascii="Calibri" w:eastAsia="Times New Roman" w:hAnsi="Calibri" w:cs="Calibri"/>
                <w:b/>
                <w:bCs/>
              </w:rPr>
              <w:t xml:space="preserve"> Year</w:t>
            </w:r>
          </w:p>
        </w:tc>
        <w:tc>
          <w:tcPr>
            <w:tcW w:w="9900" w:type="dxa"/>
            <w:tcBorders>
              <w:top w:val="single" w:sz="4" w:space="0" w:color="auto"/>
              <w:left w:val="single" w:sz="4" w:space="0" w:color="auto"/>
              <w:bottom w:val="single" w:sz="4" w:space="0" w:color="auto"/>
              <w:right w:val="single" w:sz="4" w:space="0" w:color="auto"/>
            </w:tcBorders>
            <w:shd w:val="clear" w:color="auto" w:fill="auto"/>
          </w:tcPr>
          <w:p w14:paraId="61FBDC2C" w14:textId="343822E3" w:rsidR="008940E1" w:rsidRPr="008940E1" w:rsidRDefault="008940E1" w:rsidP="00FB0532">
            <w:pPr>
              <w:numPr>
                <w:ilvl w:val="0"/>
                <w:numId w:val="17"/>
              </w:numPr>
              <w:textAlignment w:val="baseline"/>
              <w:rPr>
                <w:rFonts w:ascii="Calibri" w:eastAsia="Times New Roman" w:hAnsi="Calibri" w:cs="Calibri"/>
              </w:rPr>
            </w:pPr>
            <w:r w:rsidRPr="008940E1">
              <w:rPr>
                <w:rFonts w:ascii="Calibri" w:eastAsia="Times New Roman" w:hAnsi="Calibri" w:cs="Calibri"/>
                <w:b/>
                <w:bCs/>
              </w:rPr>
              <w:t xml:space="preserve">The state will determine conditions and expectations the entity must comply by </w:t>
            </w:r>
            <w:r w:rsidR="0050435B" w:rsidRPr="008940E1">
              <w:rPr>
                <w:rFonts w:ascii="Calibri" w:eastAsia="Times New Roman" w:hAnsi="Calibri" w:cs="Calibri"/>
                <w:b/>
                <w:bCs/>
              </w:rPr>
              <w:t>to</w:t>
            </w:r>
            <w:r w:rsidRPr="008940E1">
              <w:rPr>
                <w:rFonts w:ascii="Calibri" w:eastAsia="Times New Roman" w:hAnsi="Calibri" w:cs="Calibri"/>
                <w:b/>
                <w:bCs/>
              </w:rPr>
              <w:t xml:space="preserve"> continue receiving Perkins funding.  The state may withdraw access to Perkins budget funding.  </w:t>
            </w:r>
          </w:p>
        </w:tc>
      </w:tr>
    </w:tbl>
    <w:p w14:paraId="0B5E2B86" w14:textId="77777777" w:rsidR="00AB44C5" w:rsidRDefault="00AB44C5"/>
    <w:sectPr w:rsidR="00AB44C5" w:rsidSect="00AB44C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A7FCF"/>
    <w:multiLevelType w:val="multilevel"/>
    <w:tmpl w:val="F25EB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D4D4A"/>
    <w:multiLevelType w:val="multilevel"/>
    <w:tmpl w:val="8E42E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2629E7"/>
    <w:multiLevelType w:val="multilevel"/>
    <w:tmpl w:val="90082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005E35"/>
    <w:multiLevelType w:val="hybridMultilevel"/>
    <w:tmpl w:val="BA6C378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130775"/>
    <w:multiLevelType w:val="multilevel"/>
    <w:tmpl w:val="9D2C1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6A4592"/>
    <w:multiLevelType w:val="multilevel"/>
    <w:tmpl w:val="4B44D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5D6D56"/>
    <w:multiLevelType w:val="multilevel"/>
    <w:tmpl w:val="8ACEA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620081"/>
    <w:multiLevelType w:val="hybridMultilevel"/>
    <w:tmpl w:val="078014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6E14A9"/>
    <w:multiLevelType w:val="multilevel"/>
    <w:tmpl w:val="7BA28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AC345C"/>
    <w:multiLevelType w:val="multilevel"/>
    <w:tmpl w:val="D72C5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081B85"/>
    <w:multiLevelType w:val="multilevel"/>
    <w:tmpl w:val="062E7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1F13E4"/>
    <w:multiLevelType w:val="multilevel"/>
    <w:tmpl w:val="7FC06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F21069"/>
    <w:multiLevelType w:val="multilevel"/>
    <w:tmpl w:val="987C7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E673EE"/>
    <w:multiLevelType w:val="multilevel"/>
    <w:tmpl w:val="63F66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6F5847"/>
    <w:multiLevelType w:val="hybridMultilevel"/>
    <w:tmpl w:val="E82C82B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AC21A03"/>
    <w:multiLevelType w:val="multilevel"/>
    <w:tmpl w:val="40266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2A0502"/>
    <w:multiLevelType w:val="multilevel"/>
    <w:tmpl w:val="8E504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515743"/>
    <w:multiLevelType w:val="multilevel"/>
    <w:tmpl w:val="FF948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3"/>
  </w:num>
  <w:num w:numId="3">
    <w:abstractNumId w:val="12"/>
  </w:num>
  <w:num w:numId="4">
    <w:abstractNumId w:val="15"/>
  </w:num>
  <w:num w:numId="5">
    <w:abstractNumId w:val="2"/>
  </w:num>
  <w:num w:numId="6">
    <w:abstractNumId w:val="16"/>
  </w:num>
  <w:num w:numId="7">
    <w:abstractNumId w:val="11"/>
  </w:num>
  <w:num w:numId="8">
    <w:abstractNumId w:val="5"/>
  </w:num>
  <w:num w:numId="9">
    <w:abstractNumId w:val="4"/>
  </w:num>
  <w:num w:numId="10">
    <w:abstractNumId w:val="17"/>
  </w:num>
  <w:num w:numId="11">
    <w:abstractNumId w:val="0"/>
  </w:num>
  <w:num w:numId="12">
    <w:abstractNumId w:val="8"/>
  </w:num>
  <w:num w:numId="13">
    <w:abstractNumId w:val="6"/>
  </w:num>
  <w:num w:numId="14">
    <w:abstractNumId w:val="10"/>
  </w:num>
  <w:num w:numId="15">
    <w:abstractNumId w:val="9"/>
  </w:num>
  <w:num w:numId="16">
    <w:abstractNumId w:val="14"/>
  </w:num>
  <w:num w:numId="17">
    <w:abstractNumId w:val="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4C5"/>
    <w:rsid w:val="00054850"/>
    <w:rsid w:val="001577B0"/>
    <w:rsid w:val="001676ED"/>
    <w:rsid w:val="00172E1D"/>
    <w:rsid w:val="00275340"/>
    <w:rsid w:val="002D6A2D"/>
    <w:rsid w:val="002E69E3"/>
    <w:rsid w:val="002E6C29"/>
    <w:rsid w:val="002E735B"/>
    <w:rsid w:val="003175A8"/>
    <w:rsid w:val="00340511"/>
    <w:rsid w:val="003D2C66"/>
    <w:rsid w:val="00472259"/>
    <w:rsid w:val="0050435B"/>
    <w:rsid w:val="005A60D6"/>
    <w:rsid w:val="005E1286"/>
    <w:rsid w:val="005E71E1"/>
    <w:rsid w:val="00614FA0"/>
    <w:rsid w:val="006D7254"/>
    <w:rsid w:val="00730C1B"/>
    <w:rsid w:val="007C5235"/>
    <w:rsid w:val="007F15DC"/>
    <w:rsid w:val="008940E1"/>
    <w:rsid w:val="00894DBD"/>
    <w:rsid w:val="008A19C0"/>
    <w:rsid w:val="009F4489"/>
    <w:rsid w:val="00A915CF"/>
    <w:rsid w:val="00AB44C5"/>
    <w:rsid w:val="00B72044"/>
    <w:rsid w:val="00B947FC"/>
    <w:rsid w:val="00C42470"/>
    <w:rsid w:val="00C52137"/>
    <w:rsid w:val="00CB7956"/>
    <w:rsid w:val="00CF0107"/>
    <w:rsid w:val="00D60264"/>
    <w:rsid w:val="00D646B5"/>
    <w:rsid w:val="00DB6CD9"/>
    <w:rsid w:val="00E01850"/>
    <w:rsid w:val="00E25EE3"/>
    <w:rsid w:val="00E6754A"/>
    <w:rsid w:val="00EF1559"/>
    <w:rsid w:val="00EF4B51"/>
    <w:rsid w:val="00F2068B"/>
    <w:rsid w:val="00F637FD"/>
    <w:rsid w:val="00FB0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56AD1"/>
  <w15:chartTrackingRefBased/>
  <w15:docId w15:val="{4FFE834C-05D3-4A2E-8B82-A1A6E73E2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4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B44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940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15DC"/>
    <w:rPr>
      <w:color w:val="0563C1" w:themeColor="hyperlink"/>
      <w:u w:val="single"/>
    </w:rPr>
  </w:style>
  <w:style w:type="character" w:styleId="UnresolvedMention">
    <w:name w:val="Unresolved Mention"/>
    <w:basedOn w:val="DefaultParagraphFont"/>
    <w:uiPriority w:val="99"/>
    <w:semiHidden/>
    <w:unhideWhenUsed/>
    <w:rsid w:val="007F15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e.sd.gov/cte/documents/Guide-PerkinsIndicators.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1215</TotalTime>
  <Pages>2</Pages>
  <Words>987</Words>
  <Characters>5631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Roth, Kim</dc:creator>
  <cp:keywords/>
  <dc:description/>
  <cp:lastModifiedBy>Roth, Kim</cp:lastModifiedBy>
  <cp:revision>38</cp:revision>
  <dcterms:created xsi:type="dcterms:W3CDTF">2022-03-03T20:08:00Z</dcterms:created>
  <dcterms:modified xsi:type="dcterms:W3CDTF">2022-03-16T17:20:00Z</dcterms:modified>
</cp:coreProperties>
</file>