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77777777" w:rsidR="00A26EE9" w:rsidRPr="00333D9E" w:rsidRDefault="00A26EE9" w:rsidP="00333D9E">
      <w:pPr>
        <w:pStyle w:val="Title"/>
        <w:spacing w:before="1200"/>
        <w:rPr>
          <w:kern w:val="2"/>
        </w:rPr>
      </w:pPr>
      <w:r w:rsidRPr="00333D9E">
        <w:rPr>
          <w:kern w:val="2"/>
        </w:rPr>
        <w:t>OMB NO.  1820-0030</w:t>
      </w:r>
    </w:p>
    <w:p w14:paraId="12276A16" w14:textId="43A5DB39" w:rsidR="00A26EE9" w:rsidRPr="00333D9E" w:rsidRDefault="00A26EE9">
      <w:pPr>
        <w:jc w:val="center"/>
        <w:rPr>
          <w:b/>
          <w:bCs/>
          <w:kern w:val="2"/>
        </w:rPr>
      </w:pPr>
      <w:r w:rsidRPr="00333D9E">
        <w:rPr>
          <w:b/>
          <w:bCs/>
          <w:kern w:val="2"/>
        </w:rPr>
        <w:t xml:space="preserve">Expires: </w:t>
      </w:r>
      <w:r w:rsidR="00340C5F" w:rsidRPr="00333D9E">
        <w:rPr>
          <w:b/>
          <w:bCs/>
          <w:kern w:val="2"/>
        </w:rPr>
        <w:t xml:space="preserve"> </w:t>
      </w:r>
      <w:r w:rsidR="008C41E7">
        <w:rPr>
          <w:b/>
          <w:bCs/>
          <w:kern w:val="2"/>
        </w:rPr>
        <w:t>8/31/2021</w:t>
      </w:r>
    </w:p>
    <w:p w14:paraId="12276A17" w14:textId="4CD7F472"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0B68C6">
        <w:rPr>
          <w:b/>
          <w:bCs/>
          <w:kern w:val="2"/>
          <w:sz w:val="24"/>
        </w:rPr>
        <w:t>2019</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ABBC489" w14:textId="77777777" w:rsidR="00EB1FAE" w:rsidRDefault="00EB1FAE" w:rsidP="00EB1FAE">
      <w:pPr>
        <w:pStyle w:val="CommentText"/>
      </w:pPr>
      <w:r w:rsidRPr="00717F83">
        <w:rPr>
          <w:b/>
          <w:sz w:val="18"/>
          <w:szCs w:val="18"/>
        </w:rPr>
        <w:t xml:space="preserve">According to the Paperwork Reduction Act of 1995, no persons are required to respond to a collection of information unless such collection displays a valid OMB control number. </w:t>
      </w:r>
      <w:r>
        <w:t xml:space="preserve">There are 60 respondents who, under PL 108-446, are required to submit the IDEA Part B Annual State Application in order to receive a grant award under Part B of the IDEA. The data burden is expected to require an average of 14 hours per respondent, including time for reviewing instructions, searching existing data sources, gathering and maintaining the data needed, and completing and reviewing the collection of information.  The burden estimate is 840 hours.      </w:t>
      </w:r>
    </w:p>
    <w:p w14:paraId="706F9FA5" w14:textId="77777777" w:rsidR="00EB1FAE" w:rsidRDefault="00EB1FAE" w:rsidP="00EB1FAE">
      <w:pPr>
        <w:pStyle w:val="CommentText"/>
      </w:pPr>
    </w:p>
    <w:p w14:paraId="054C8205" w14:textId="77777777" w:rsidR="00EB1FAE" w:rsidRPr="00B93EC9" w:rsidRDefault="00EB1FAE" w:rsidP="00EB1FAE">
      <w:pPr>
        <w:rPr>
          <w:szCs w:val="20"/>
        </w:rPr>
      </w:pPr>
      <w:r>
        <w:rPr>
          <w:szCs w:val="20"/>
        </w:rPr>
        <w:t>Respondents are required to submit information for</w:t>
      </w:r>
      <w:r w:rsidRPr="0007178D">
        <w:rPr>
          <w:szCs w:val="20"/>
        </w:rPr>
        <w:t xml:space="preserve"> Sections I-IV of the Annual State Application </w:t>
      </w:r>
      <w:r>
        <w:rPr>
          <w:szCs w:val="20"/>
        </w:rPr>
        <w:t xml:space="preserve">in order </w:t>
      </w:r>
      <w:r w:rsidRPr="0007178D">
        <w:rPr>
          <w:szCs w:val="20"/>
        </w:rPr>
        <w:t xml:space="preserve">to </w:t>
      </w:r>
      <w:r>
        <w:rPr>
          <w:szCs w:val="20"/>
        </w:rPr>
        <w:t>receive</w:t>
      </w:r>
      <w:r w:rsidRPr="0007178D">
        <w:rPr>
          <w:szCs w:val="20"/>
        </w:rPr>
        <w:t xml:space="preserve"> a grant under Section(s) 611 and/or 619 of the Individuals with Disabilities Education Act. </w:t>
      </w:r>
      <w:r w:rsidRPr="00B93EC9">
        <w:rPr>
          <w:szCs w:val="20"/>
        </w:rPr>
        <w:t xml:space="preserve">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B93EC9">
        <w:rPr>
          <w:bCs/>
          <w:i/>
          <w:szCs w:val="20"/>
        </w:rPr>
        <w:t>Annual State Application under Part B of The Individuals with Disabilities Education Act as Amended in 2004</w:t>
      </w:r>
      <w:r w:rsidRPr="00B93EC9">
        <w:rPr>
          <w:szCs w:val="20"/>
        </w:rPr>
        <w:t xml:space="preserve"> to this address.</w:t>
      </w:r>
    </w:p>
    <w:p w14:paraId="12276A1F" w14:textId="77777777" w:rsidR="00717F83" w:rsidRPr="00333D9E" w:rsidRDefault="00717F83">
      <w:pPr>
        <w:jc w:val="center"/>
        <w:rPr>
          <w:kern w:val="2"/>
          <w:sz w:val="18"/>
          <w:szCs w:val="18"/>
        </w:rPr>
      </w:pPr>
    </w:p>
    <w:p w14:paraId="12276A20" w14:textId="77777777" w:rsidR="00333D9E" w:rsidRPr="00333D9E" w:rsidRDefault="00333D9E">
      <w:pPr>
        <w:jc w:val="center"/>
        <w:rPr>
          <w:kern w:val="2"/>
          <w:sz w:val="18"/>
          <w:szCs w:val="18"/>
        </w:rPr>
        <w:sectPr w:rsidR="00333D9E" w:rsidRPr="00333D9E" w:rsidSect="00333D9E">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pPr>
    </w:p>
    <w:p w14:paraId="12276A21" w14:textId="77777777"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56E33A81" w:rsidR="00A26EE9" w:rsidRPr="00333D9E" w:rsidRDefault="00A26EE9">
      <w:pPr>
        <w:pStyle w:val="BodyTextIndent"/>
        <w:spacing w:after="120"/>
        <w:ind w:left="1195" w:hanging="1195"/>
        <w:rPr>
          <w:kern w:val="2"/>
        </w:rPr>
      </w:pPr>
      <w:r w:rsidRPr="00333D9E">
        <w:rPr>
          <w:kern w:val="2"/>
        </w:rPr>
        <w:t>__</w:t>
      </w:r>
      <w:r w:rsidR="00830420" w:rsidRPr="00830420">
        <w:rPr>
          <w:kern w:val="2"/>
          <w:u w:val="single"/>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475360AE"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C41E7">
        <w:rPr>
          <w:kern w:val="2"/>
        </w:rPr>
        <w:t>2020</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6CD9E75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12276A2C" w14:textId="0D96453F"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50B6161D"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conditional approval letter.</w:t>
      </w:r>
    </w:p>
    <w:p w14:paraId="12276A2F" w14:textId="36CD4F99"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4FCAEE53"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B68C6">
        <w:rPr>
          <w:kern w:val="2"/>
          <w:szCs w:val="20"/>
        </w:rPr>
        <w:t>2018</w:t>
      </w:r>
      <w:r w:rsidR="000B68C6"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7F074FA5" w:rsidR="00FB0645" w:rsidRPr="00333D9E" w:rsidRDefault="00FB0645" w:rsidP="00FB0645">
            <w:pPr>
              <w:jc w:val="center"/>
              <w:rPr>
                <w:kern w:val="2"/>
              </w:rPr>
            </w:pPr>
            <w:r w:rsidRPr="00590729">
              <w:rPr>
                <w:kern w:val="2"/>
              </w:rPr>
              <w:t>X</w:t>
            </w: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56877AC8" w:rsidR="00333D9E" w:rsidRPr="00333D9E" w:rsidRDefault="00FB0645" w:rsidP="00C9157B">
            <w:pPr>
              <w:jc w:val="center"/>
              <w:rPr>
                <w:kern w:val="2"/>
              </w:rPr>
            </w:pPr>
            <w:r w:rsidRPr="00590729">
              <w:rPr>
                <w:kern w:val="2"/>
              </w:rPr>
              <w:t>X</w:t>
            </w: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267E1EA7" w:rsidR="00333D9E" w:rsidRPr="00333D9E" w:rsidRDefault="00FB0645" w:rsidP="00C9157B">
            <w:pPr>
              <w:jc w:val="center"/>
              <w:rPr>
                <w:kern w:val="2"/>
              </w:rPr>
            </w:pPr>
            <w:r w:rsidRPr="00590729">
              <w:rPr>
                <w:kern w:val="2"/>
              </w:rPr>
              <w:t>X</w:t>
            </w: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4F6AB7E5" w:rsidR="00333D9E" w:rsidRPr="00333D9E" w:rsidRDefault="00FB0645" w:rsidP="00C9157B">
            <w:pPr>
              <w:jc w:val="center"/>
              <w:rPr>
                <w:kern w:val="2"/>
              </w:rPr>
            </w:pPr>
            <w:r w:rsidRPr="00590729">
              <w:rPr>
                <w:kern w:val="2"/>
              </w:rPr>
              <w:t>X</w:t>
            </w: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4C1DB41E" w:rsidR="00333D9E" w:rsidRPr="00333D9E" w:rsidRDefault="00FB0645" w:rsidP="00C9157B">
            <w:pPr>
              <w:jc w:val="center"/>
              <w:rPr>
                <w:kern w:val="2"/>
              </w:rPr>
            </w:pPr>
            <w:r w:rsidRPr="00590729">
              <w:rPr>
                <w:kern w:val="2"/>
              </w:rPr>
              <w:t>X</w:t>
            </w: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2A93BA44" w:rsidR="00333D9E" w:rsidRPr="00333D9E" w:rsidRDefault="00FB0645" w:rsidP="00C9157B">
            <w:pPr>
              <w:jc w:val="center"/>
              <w:rPr>
                <w:kern w:val="2"/>
              </w:rPr>
            </w:pPr>
            <w:r w:rsidRPr="00590729">
              <w:rPr>
                <w:kern w:val="2"/>
              </w:rPr>
              <w:lastRenderedPageBreak/>
              <w:t>X</w:t>
            </w: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005D949B" w:rsidR="00333D9E" w:rsidRPr="00333D9E" w:rsidRDefault="00FB0645" w:rsidP="00C9157B">
            <w:pPr>
              <w:jc w:val="center"/>
              <w:rPr>
                <w:kern w:val="2"/>
              </w:rPr>
            </w:pPr>
            <w:r w:rsidRPr="00590729">
              <w:rPr>
                <w:kern w:val="2"/>
              </w:rPr>
              <w:t>X</w:t>
            </w: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211A9FE1" w:rsidR="00333D9E" w:rsidRPr="00333D9E" w:rsidRDefault="00FB0645" w:rsidP="00C9157B">
            <w:pPr>
              <w:jc w:val="center"/>
              <w:rPr>
                <w:kern w:val="2"/>
              </w:rPr>
            </w:pPr>
            <w:r w:rsidRPr="00590729">
              <w:rPr>
                <w:kern w:val="2"/>
              </w:rPr>
              <w:t>X</w:t>
            </w: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15743C9B" w:rsidR="00333D9E" w:rsidRPr="00333D9E" w:rsidRDefault="00FB0645" w:rsidP="00C9157B">
            <w:pPr>
              <w:jc w:val="center"/>
              <w:rPr>
                <w:kern w:val="2"/>
              </w:rPr>
            </w:pPr>
            <w:r w:rsidRPr="00590729">
              <w:rPr>
                <w:kern w:val="2"/>
              </w:rPr>
              <w:t>X</w:t>
            </w: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2745BB36" w:rsidR="00333D9E" w:rsidRPr="00333D9E" w:rsidRDefault="00FB0645" w:rsidP="00C9157B">
            <w:pPr>
              <w:jc w:val="center"/>
              <w:rPr>
                <w:kern w:val="2"/>
              </w:rPr>
            </w:pPr>
            <w:r w:rsidRPr="00590729">
              <w:rPr>
                <w:kern w:val="2"/>
              </w:rPr>
              <w:t>X</w:t>
            </w: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392BC33C" w:rsidR="00333D9E" w:rsidRPr="00333D9E" w:rsidRDefault="00FB0645" w:rsidP="00C9157B">
            <w:pPr>
              <w:jc w:val="center"/>
              <w:rPr>
                <w:kern w:val="2"/>
              </w:rPr>
            </w:pPr>
            <w:r w:rsidRPr="00590729">
              <w:rPr>
                <w:kern w:val="2"/>
              </w:rPr>
              <w:lastRenderedPageBreak/>
              <w:t>X</w:t>
            </w: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5EEDAC9C" w:rsidR="00333D9E" w:rsidRPr="00333D9E" w:rsidRDefault="00FB0645" w:rsidP="00C9157B">
            <w:pPr>
              <w:jc w:val="center"/>
              <w:rPr>
                <w:kern w:val="2"/>
              </w:rPr>
            </w:pPr>
            <w:r w:rsidRPr="00590729">
              <w:rPr>
                <w:kern w:val="2"/>
              </w:rPr>
              <w:t>X</w:t>
            </w: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C9157B">
        <w:trPr>
          <w:jc w:val="center"/>
        </w:trPr>
        <w:tc>
          <w:tcPr>
            <w:tcW w:w="1296" w:type="dxa"/>
            <w:vAlign w:val="center"/>
          </w:tcPr>
          <w:p w14:paraId="12276A6C" w14:textId="5F03D860" w:rsidR="00333D9E" w:rsidRPr="00333D9E" w:rsidRDefault="00FB0645" w:rsidP="00C9157B">
            <w:pPr>
              <w:jc w:val="center"/>
              <w:rPr>
                <w:kern w:val="2"/>
              </w:rPr>
            </w:pPr>
            <w:r w:rsidRPr="00590729">
              <w:rPr>
                <w:kern w:val="2"/>
              </w:rPr>
              <w:t>X</w:t>
            </w: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3190D6CF" w:rsidR="00333D9E" w:rsidRPr="00333D9E" w:rsidRDefault="00FB0645" w:rsidP="00C9157B">
            <w:pPr>
              <w:jc w:val="center"/>
              <w:rPr>
                <w:kern w:val="2"/>
              </w:rPr>
            </w:pPr>
            <w:r w:rsidRPr="00590729">
              <w:rPr>
                <w:kern w:val="2"/>
              </w:rPr>
              <w:t>X</w:t>
            </w: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 xml:space="preserve">as amended by </w:t>
            </w:r>
            <w:proofErr w:type="gramStart"/>
            <w:r w:rsidR="00EB1FAE" w:rsidRPr="00EB1FAE">
              <w:rPr>
                <w:kern w:val="2"/>
              </w:rPr>
              <w:t>the Every</w:t>
            </w:r>
            <w:proofErr w:type="gramEnd"/>
            <w:r w:rsidR="00EB1FAE" w:rsidRPr="00EB1FAE">
              <w:rPr>
                <w:kern w:val="2"/>
              </w:rPr>
              <w:t xml:space="preserve">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1C8D8750" w:rsidR="00333D9E" w:rsidRPr="00333D9E" w:rsidRDefault="00FB0645" w:rsidP="00C9157B">
            <w:pPr>
              <w:jc w:val="center"/>
              <w:rPr>
                <w:kern w:val="2"/>
              </w:rPr>
            </w:pPr>
            <w:r w:rsidRPr="00590729">
              <w:rPr>
                <w:kern w:val="2"/>
              </w:rPr>
              <w:t>X</w:t>
            </w: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7C8CBFCE" w:rsidR="00333D9E" w:rsidRPr="00333D9E" w:rsidRDefault="00FB0645" w:rsidP="00C9157B">
            <w:pPr>
              <w:jc w:val="center"/>
              <w:rPr>
                <w:kern w:val="2"/>
              </w:rPr>
            </w:pPr>
            <w:r w:rsidRPr="00590729">
              <w:rPr>
                <w:kern w:val="2"/>
              </w:rPr>
              <w:t>X</w:t>
            </w: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 xml:space="preserve">as amended by </w:t>
            </w:r>
            <w:proofErr w:type="gramStart"/>
            <w:r w:rsidR="00EB1FAE" w:rsidRPr="00EB1FAE">
              <w:rPr>
                <w:kern w:val="2"/>
              </w:rPr>
              <w:t>the Every</w:t>
            </w:r>
            <w:proofErr w:type="gramEnd"/>
            <w:r w:rsidR="00EB1FAE" w:rsidRPr="00EB1FAE">
              <w:rPr>
                <w:kern w:val="2"/>
              </w:rPr>
              <w:t xml:space="preserve">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3EA7476F" w:rsidR="00333D9E" w:rsidRPr="00333D9E" w:rsidRDefault="00FB0645" w:rsidP="00C9157B">
            <w:pPr>
              <w:jc w:val="center"/>
              <w:rPr>
                <w:kern w:val="2"/>
              </w:rPr>
            </w:pPr>
            <w:r w:rsidRPr="00590729">
              <w:rPr>
                <w:kern w:val="2"/>
              </w:rPr>
              <w:lastRenderedPageBreak/>
              <w:t>X</w:t>
            </w: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7E3A9EAA" w:rsidR="00333D9E" w:rsidRPr="00333D9E" w:rsidRDefault="00183BA9" w:rsidP="00C9157B">
            <w:pPr>
              <w:jc w:val="center"/>
              <w:rPr>
                <w:kern w:val="2"/>
              </w:rPr>
            </w:pPr>
            <w:r w:rsidRPr="00590729">
              <w:rPr>
                <w:kern w:val="2"/>
              </w:rPr>
              <w:t>X</w:t>
            </w: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29E5DD90" w:rsidR="00333D9E" w:rsidRPr="00333D9E" w:rsidRDefault="00183BA9" w:rsidP="00C9157B">
            <w:pPr>
              <w:jc w:val="center"/>
              <w:rPr>
                <w:kern w:val="2"/>
              </w:rPr>
            </w:pPr>
            <w:r w:rsidRPr="00590729">
              <w:rPr>
                <w:kern w:val="2"/>
              </w:rPr>
              <w:t>X</w:t>
            </w: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7271B640" w:rsidR="00333D9E" w:rsidRPr="00333D9E" w:rsidRDefault="00183BA9" w:rsidP="00C9157B">
            <w:pPr>
              <w:jc w:val="center"/>
              <w:rPr>
                <w:kern w:val="2"/>
              </w:rPr>
            </w:pPr>
            <w:r w:rsidRPr="00590729">
              <w:rPr>
                <w:kern w:val="2"/>
              </w:rPr>
              <w:t>X</w:t>
            </w: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0F69A665" w:rsidR="00333D9E" w:rsidRPr="00333D9E" w:rsidRDefault="00183BA9" w:rsidP="00C9157B">
            <w:pPr>
              <w:jc w:val="center"/>
              <w:rPr>
                <w:kern w:val="2"/>
              </w:rPr>
            </w:pPr>
            <w:r w:rsidRPr="00590729">
              <w:rPr>
                <w:kern w:val="2"/>
              </w:rPr>
              <w:t>X</w:t>
            </w: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63212EF4" w:rsidR="00333D9E" w:rsidRPr="00333D9E" w:rsidRDefault="00183BA9" w:rsidP="00C9157B">
            <w:pPr>
              <w:jc w:val="center"/>
              <w:rPr>
                <w:kern w:val="2"/>
              </w:rPr>
            </w:pPr>
            <w:r w:rsidRPr="00590729">
              <w:rPr>
                <w:kern w:val="2"/>
              </w:rPr>
              <w:t>X</w:t>
            </w: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0B1344AC" w:rsidR="00333D9E" w:rsidRPr="00333D9E" w:rsidRDefault="00183BA9" w:rsidP="00C9157B">
            <w:pPr>
              <w:jc w:val="center"/>
              <w:rPr>
                <w:kern w:val="2"/>
              </w:rPr>
            </w:pPr>
            <w:r w:rsidRPr="00590729">
              <w:rPr>
                <w:kern w:val="2"/>
              </w:rPr>
              <w:t>X</w:t>
            </w: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7D3E41E3" w:rsidR="00333D9E" w:rsidRPr="00333D9E" w:rsidRDefault="00183BA9" w:rsidP="00C9157B">
            <w:pPr>
              <w:jc w:val="center"/>
              <w:rPr>
                <w:kern w:val="2"/>
              </w:rPr>
            </w:pPr>
            <w:r w:rsidRPr="00590729">
              <w:rPr>
                <w:kern w:val="2"/>
              </w:rPr>
              <w:t>X</w:t>
            </w: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77777777" w:rsidR="00333D9E" w:rsidRPr="00333D9E" w:rsidRDefault="00333D9E" w:rsidP="00C9157B">
            <w:pPr>
              <w:jc w:val="center"/>
              <w:rPr>
                <w:kern w:val="2"/>
              </w:rPr>
            </w:pP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5872A5A3" w:rsidR="00333D9E" w:rsidRPr="00333D9E" w:rsidRDefault="00183BA9" w:rsidP="00C9157B">
            <w:pPr>
              <w:jc w:val="center"/>
              <w:rPr>
                <w:kern w:val="2"/>
              </w:rPr>
            </w:pPr>
            <w:r w:rsidRPr="00590729">
              <w:rPr>
                <w:kern w:val="2"/>
              </w:rPr>
              <w:t>X</w:t>
            </w: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414947F0" w:rsidR="00333D9E" w:rsidRPr="00333D9E" w:rsidRDefault="00183BA9" w:rsidP="00C9157B">
            <w:pPr>
              <w:jc w:val="center"/>
              <w:rPr>
                <w:kern w:val="2"/>
              </w:rPr>
            </w:pPr>
            <w:r w:rsidRPr="00590729">
              <w:rPr>
                <w:kern w:val="2"/>
              </w:rPr>
              <w:t>X</w:t>
            </w: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4"/>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3359A757" w:rsidR="00A26EE9" w:rsidRPr="00333D9E" w:rsidRDefault="00183BA9" w:rsidP="00DD5811">
            <w:pPr>
              <w:jc w:val="center"/>
              <w:rPr>
                <w:kern w:val="2"/>
              </w:rPr>
            </w:pPr>
            <w:r w:rsidRPr="00590729">
              <w:rPr>
                <w:kern w:val="2"/>
              </w:rPr>
              <w:t>X</w:t>
            </w: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117596B1" w:rsidR="00A26EE9" w:rsidRPr="00333D9E" w:rsidRDefault="00183BA9" w:rsidP="00DD5811">
            <w:pPr>
              <w:jc w:val="center"/>
              <w:rPr>
                <w:kern w:val="2"/>
              </w:rPr>
            </w:pPr>
            <w:r w:rsidRPr="00590729">
              <w:rPr>
                <w:kern w:val="2"/>
              </w:rPr>
              <w:t>X</w:t>
            </w: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6722AEDC" w:rsidR="00A26EE9" w:rsidRPr="00333D9E" w:rsidRDefault="00183BA9" w:rsidP="00DD5811">
            <w:pPr>
              <w:jc w:val="center"/>
              <w:rPr>
                <w:kern w:val="2"/>
              </w:rPr>
            </w:pPr>
            <w:r w:rsidRPr="00590729">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389B0E5B" w:rsidR="00A26EE9" w:rsidRPr="00333D9E" w:rsidRDefault="00183BA9" w:rsidP="00DD5811">
            <w:pPr>
              <w:jc w:val="center"/>
              <w:rPr>
                <w:kern w:val="2"/>
              </w:rPr>
            </w:pPr>
            <w:r w:rsidRPr="00590729">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2F828A22" w:rsidR="00A26EE9" w:rsidRPr="00333D9E" w:rsidRDefault="00183BA9" w:rsidP="00DD5811">
            <w:pPr>
              <w:jc w:val="center"/>
              <w:rPr>
                <w:kern w:val="2"/>
              </w:rPr>
            </w:pPr>
            <w:r w:rsidRPr="00590729">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3DFA025C" w:rsidR="00A26EE9" w:rsidRPr="00333D9E" w:rsidRDefault="00183BA9" w:rsidP="00DD5811">
            <w:pPr>
              <w:jc w:val="center"/>
              <w:rPr>
                <w:kern w:val="2"/>
              </w:rPr>
            </w:pPr>
            <w:r w:rsidRPr="00590729">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3B394C41" w:rsidR="00A26EE9" w:rsidRPr="00333D9E" w:rsidRDefault="00183BA9" w:rsidP="00DD5811">
            <w:pPr>
              <w:jc w:val="center"/>
              <w:rPr>
                <w:kern w:val="2"/>
              </w:rPr>
            </w:pPr>
            <w:r w:rsidRPr="00590729">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35E391EA" w:rsidR="00A26EE9" w:rsidRPr="00333D9E" w:rsidRDefault="00A26EE9">
      <w:pPr>
        <w:spacing w:after="120"/>
        <w:rPr>
          <w:kern w:val="2"/>
        </w:rPr>
      </w:pPr>
      <w:r w:rsidRPr="00333D9E">
        <w:rPr>
          <w:kern w:val="2"/>
        </w:rPr>
        <w:t>I certify that the State of ___</w:t>
      </w:r>
      <w:r w:rsidR="00183BA9" w:rsidRPr="00183BA9">
        <w:rPr>
          <w:kern w:val="2"/>
          <w:u w:val="single"/>
        </w:rPr>
        <w:t>South Dakota</w:t>
      </w:r>
      <w:r w:rsidRPr="00333D9E">
        <w:rPr>
          <w:kern w:val="2"/>
        </w:rPr>
        <w:t>__________________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736581E"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67018">
        <w:rPr>
          <w:kern w:val="2"/>
        </w:rPr>
        <w:t>2020</w:t>
      </w:r>
      <w:r w:rsidRPr="00333D9E">
        <w:rPr>
          <w:kern w:val="2"/>
        </w:rPr>
        <w:t>.  (</w:t>
      </w:r>
      <w:r w:rsidR="00333D9E" w:rsidRPr="00333D9E">
        <w:rPr>
          <w:kern w:val="2"/>
        </w:rPr>
        <w:t>34 CFR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1F05FEE5" w:rsidR="00A26EE9" w:rsidRPr="00333D9E" w:rsidRDefault="00183BA9" w:rsidP="00CB6395">
      <w:pPr>
        <w:keepNext/>
        <w:tabs>
          <w:tab w:val="right" w:leader="underscore" w:pos="7920"/>
        </w:tabs>
        <w:spacing w:before="600" w:after="120"/>
        <w:ind w:left="1440" w:right="1440"/>
        <w:jc w:val="center"/>
        <w:rPr>
          <w:kern w:val="2"/>
        </w:rPr>
      </w:pPr>
      <w:r>
        <w:rPr>
          <w:kern w:val="2"/>
          <w:u w:val="single"/>
        </w:rPr>
        <w:t>South Dakota Department of Education</w:t>
      </w:r>
      <w:r w:rsidR="00DD5811">
        <w:rPr>
          <w:kern w:val="2"/>
        </w:rPr>
        <w:tab/>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458AC46D" w:rsidR="00A26EE9" w:rsidRPr="00333D9E" w:rsidRDefault="00A26EE9">
      <w:pPr>
        <w:spacing w:after="240"/>
        <w:rPr>
          <w:kern w:val="2"/>
        </w:rPr>
      </w:pPr>
      <w:r w:rsidRPr="00333D9E">
        <w:rPr>
          <w:kern w:val="2"/>
        </w:rPr>
        <w:t xml:space="preserve">am designated by the Governor of this State to submit this application for FFY </w:t>
      </w:r>
      <w:r w:rsidR="00567018">
        <w:rPr>
          <w:kern w:val="2"/>
        </w:rPr>
        <w:t>2019</w:t>
      </w:r>
      <w:r w:rsidR="00567018"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451DB978" w14:textId="77777777" w:rsidR="00CB6395" w:rsidRDefault="00CB6395" w:rsidP="00FC6161">
            <w:pPr>
              <w:pStyle w:val="FootnoteText"/>
              <w:spacing w:before="120" w:after="360"/>
              <w:rPr>
                <w:kern w:val="2"/>
                <w:szCs w:val="24"/>
              </w:rPr>
            </w:pPr>
            <w:r w:rsidRPr="00333D9E">
              <w:rPr>
                <w:kern w:val="2"/>
                <w:szCs w:val="24"/>
              </w:rPr>
              <w:t>Printed/Typed Name and Title of Authorized Representative of the State:</w:t>
            </w:r>
          </w:p>
          <w:p w14:paraId="12276AD6" w14:textId="27A71E1A" w:rsidR="00183BA9" w:rsidRPr="00183BA9" w:rsidRDefault="00183BA9" w:rsidP="00FC6161">
            <w:pPr>
              <w:pStyle w:val="FootnoteText"/>
              <w:spacing w:before="120" w:after="360"/>
              <w:rPr>
                <w:b/>
                <w:kern w:val="2"/>
                <w:szCs w:val="24"/>
              </w:rPr>
            </w:pPr>
            <w:r w:rsidRPr="00183BA9">
              <w:rPr>
                <w:b/>
                <w:kern w:val="2"/>
                <w:szCs w:val="24"/>
              </w:rPr>
              <w:t>Dr. Ben Jones, Secretary of Education</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5"/>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7777777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Pr="00333D9E">
        <w:t>300.171</w:t>
      </w:r>
    </w:p>
    <w:p w14:paraId="12276ADF" w14:textId="110F003C"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567018">
        <w:rPr>
          <w:kern w:val="2"/>
        </w:rPr>
        <w:t>2019</w:t>
      </w:r>
      <w:r w:rsidR="00567018"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77777777"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§300.704</w:t>
      </w:r>
      <w:r w:rsidRPr="00333D9E">
        <w:rPr>
          <w:kern w:val="2"/>
          <w:szCs w:val="24"/>
        </w:rPr>
        <w:t>)</w:t>
      </w:r>
    </w:p>
    <w:p w14:paraId="12276AE3" w14:textId="77777777" w:rsidR="00A26EE9" w:rsidRDefault="00A26EE9">
      <w:pPr>
        <w:rPr>
          <w:kern w:val="2"/>
        </w:rPr>
      </w:pPr>
    </w:p>
    <w:p w14:paraId="05F10E5B" w14:textId="77777777" w:rsidR="00051B0B" w:rsidRDefault="00051B0B">
      <w:pPr>
        <w:rPr>
          <w:kern w:val="2"/>
        </w:rPr>
      </w:pPr>
    </w:p>
    <w:p w14:paraId="09B61F0A" w14:textId="77777777" w:rsidR="00183BA9" w:rsidRPr="003301ED" w:rsidRDefault="00183BA9" w:rsidP="00183BA9">
      <w:pPr>
        <w:rPr>
          <w:i/>
          <w:szCs w:val="20"/>
        </w:rPr>
      </w:pPr>
      <w:r w:rsidRPr="003301ED">
        <w:rPr>
          <w:i/>
          <w:szCs w:val="20"/>
        </w:rPr>
        <w:t xml:space="preserve">The final distribution of funds will be determined based upon input from comments received during the public comment period, with input from the South Dakota Council of Administrators of Special Education, from the South Dakota Advisory Panel for Children with Disabilities, data from monitoring and improvement planning activities, and data from the state performance plan and annual performance report.  </w:t>
      </w:r>
    </w:p>
    <w:p w14:paraId="2AD167CD" w14:textId="77777777" w:rsidR="00183BA9" w:rsidRPr="003301ED" w:rsidRDefault="00183BA9" w:rsidP="00183BA9">
      <w:pPr>
        <w:rPr>
          <w:i/>
          <w:szCs w:val="20"/>
        </w:rPr>
      </w:pPr>
    </w:p>
    <w:p w14:paraId="3E87DA8C" w14:textId="77777777" w:rsidR="00183BA9" w:rsidRPr="003301ED" w:rsidRDefault="00183BA9" w:rsidP="00183BA9">
      <w:pPr>
        <w:rPr>
          <w:i/>
          <w:szCs w:val="20"/>
        </w:rPr>
      </w:pPr>
      <w:r w:rsidRPr="003301ED">
        <w:rPr>
          <w:i/>
          <w:szCs w:val="20"/>
        </w:rPr>
        <w:t xml:space="preserve">South Dakota includes the distribution of funds as part of the public (60 days) information. The </w:t>
      </w:r>
      <w:proofErr w:type="gramStart"/>
      <w:r w:rsidRPr="003301ED">
        <w:rPr>
          <w:i/>
          <w:szCs w:val="20"/>
        </w:rPr>
        <w:t>30 day</w:t>
      </w:r>
      <w:proofErr w:type="gramEnd"/>
      <w:r w:rsidRPr="003301ED">
        <w:rPr>
          <w:i/>
          <w:szCs w:val="20"/>
        </w:rPr>
        <w:t xml:space="preserve"> public comment is also taken on the distribution of funds. The Special Education Advisory Panel’s </w:t>
      </w:r>
      <w:r>
        <w:rPr>
          <w:i/>
          <w:szCs w:val="20"/>
        </w:rPr>
        <w:t>April</w:t>
      </w:r>
      <w:r w:rsidRPr="003301ED">
        <w:rPr>
          <w:i/>
          <w:szCs w:val="20"/>
        </w:rPr>
        <w:t xml:space="preserve"> meeting includes a report on the distribution of funds and public comment is taken at that meeting.</w:t>
      </w:r>
    </w:p>
    <w:p w14:paraId="7CD7F3BD" w14:textId="77777777" w:rsidR="00183BA9" w:rsidRPr="003301ED" w:rsidRDefault="00183BA9" w:rsidP="00183BA9">
      <w:pPr>
        <w:rPr>
          <w:i/>
          <w:szCs w:val="20"/>
        </w:rPr>
      </w:pPr>
    </w:p>
    <w:p w14:paraId="03AE936C" w14:textId="77777777" w:rsidR="00183BA9" w:rsidRPr="003301ED" w:rsidRDefault="00183BA9" w:rsidP="00183BA9">
      <w:pPr>
        <w:rPr>
          <w:i/>
          <w:szCs w:val="20"/>
        </w:rPr>
      </w:pPr>
      <w:r w:rsidRPr="003301ED">
        <w:rPr>
          <w:i/>
          <w:szCs w:val="20"/>
        </w:rPr>
        <w:t xml:space="preserve">In addition to the above ways to get input, during the </w:t>
      </w:r>
      <w:r>
        <w:rPr>
          <w:i/>
          <w:szCs w:val="20"/>
        </w:rPr>
        <w:t>April</w:t>
      </w:r>
      <w:r w:rsidRPr="003301ED">
        <w:rPr>
          <w:i/>
          <w:szCs w:val="20"/>
        </w:rPr>
        <w:t xml:space="preserve"> Special Education Director’s call the state application and budget are </w:t>
      </w:r>
      <w:proofErr w:type="gramStart"/>
      <w:r w:rsidRPr="003301ED">
        <w:rPr>
          <w:i/>
          <w:szCs w:val="20"/>
        </w:rPr>
        <w:t>explained</w:t>
      </w:r>
      <w:proofErr w:type="gramEnd"/>
      <w:r w:rsidRPr="003301ED">
        <w:rPr>
          <w:i/>
          <w:szCs w:val="20"/>
        </w:rPr>
        <w:t xml:space="preserve"> and time is allowed for comments regarding the distribution of funds.</w:t>
      </w:r>
    </w:p>
    <w:p w14:paraId="5B5A5027" w14:textId="77777777" w:rsidR="00183BA9" w:rsidRDefault="00183BA9" w:rsidP="00183BA9">
      <w:pPr>
        <w:rPr>
          <w:kern w:val="2"/>
        </w:rPr>
      </w:pPr>
    </w:p>
    <w:p w14:paraId="12276AE4" w14:textId="60225473" w:rsidR="00183BA9" w:rsidRPr="00333D9E" w:rsidRDefault="00183BA9">
      <w:pPr>
        <w:rPr>
          <w:kern w:val="2"/>
        </w:rPr>
        <w:sectPr w:rsidR="00183BA9" w:rsidRPr="00333D9E">
          <w:footerReference w:type="default" r:id="rId16"/>
          <w:pgSz w:w="12240" w:h="15840"/>
          <w:pgMar w:top="1440" w:right="1440" w:bottom="1440" w:left="1440" w:header="720" w:footer="720" w:gutter="0"/>
          <w:pgNumType w:start="1"/>
          <w:cols w:space="720"/>
          <w:docGrid w:linePitch="360"/>
        </w:sectPr>
      </w:pPr>
      <w:r w:rsidRPr="00F26E9E">
        <w:rPr>
          <w:i/>
          <w:kern w:val="2"/>
        </w:rPr>
        <w:t>See interactive spreadsheet for distribution of funds.</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7777777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14:paraId="12276AEC" w14:textId="77777777" w:rsidR="00055652" w:rsidRPr="00333D9E" w:rsidRDefault="00055652">
      <w:pPr>
        <w:rPr>
          <w:kern w:val="2"/>
        </w:rPr>
      </w:pPr>
    </w:p>
    <w:p w14:paraId="697FE27F" w14:textId="77777777" w:rsidR="00924603" w:rsidRDefault="00924603">
      <w:pPr>
        <w:rPr>
          <w:kern w:val="2"/>
        </w:rPr>
      </w:pPr>
    </w:p>
    <w:p w14:paraId="6A211380" w14:textId="77777777" w:rsidR="00183BA9" w:rsidRPr="003301ED" w:rsidRDefault="00183BA9" w:rsidP="00183BA9">
      <w:pPr>
        <w:rPr>
          <w:i/>
          <w:szCs w:val="20"/>
        </w:rPr>
      </w:pPr>
      <w:r w:rsidRPr="003301ED">
        <w:rPr>
          <w:i/>
          <w:szCs w:val="20"/>
        </w:rPr>
        <w:t xml:space="preserve">In development of the South Dakota Administrative Rules, great care was taken to ensure that there were no state imposed administrative rules not required under IDEA or federal regulation.  </w:t>
      </w:r>
    </w:p>
    <w:p w14:paraId="12276AED" w14:textId="6D5B7AB8" w:rsidR="00183BA9" w:rsidRPr="00333D9E" w:rsidRDefault="00183BA9">
      <w:pPr>
        <w:rPr>
          <w:kern w:val="2"/>
        </w:rPr>
        <w:sectPr w:rsidR="00183BA9" w:rsidRPr="00333D9E">
          <w:footerReference w:type="default" r:id="rId17"/>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77777777" w:rsidR="00FA1B67" w:rsidRPr="00333D9E" w:rsidRDefault="00FA1B67" w:rsidP="00142F78">
      <w:pPr>
        <w:pStyle w:val="Heading2"/>
      </w:pPr>
      <w:r w:rsidRPr="00333D9E">
        <w:t>Maintenance of State Financial Support</w:t>
      </w:r>
    </w:p>
    <w:p w14:paraId="12276AF0" w14:textId="77777777"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ED63D1B" w:rsidR="00AC5386" w:rsidRPr="00006706" w:rsidRDefault="0043280A" w:rsidP="00567018">
            <w:pPr>
              <w:spacing w:before="120" w:after="120"/>
              <w:jc w:val="center"/>
              <w:rPr>
                <w:b/>
                <w:kern w:val="2"/>
              </w:rPr>
            </w:pPr>
            <w:r w:rsidRPr="00006706">
              <w:rPr>
                <w:b/>
                <w:kern w:val="2"/>
              </w:rPr>
              <w:t xml:space="preserve">SFY </w:t>
            </w:r>
            <w:r w:rsidR="00567018">
              <w:rPr>
                <w:b/>
                <w:kern w:val="2"/>
              </w:rPr>
              <w:t>2017</w:t>
            </w:r>
          </w:p>
        </w:tc>
        <w:tc>
          <w:tcPr>
            <w:tcW w:w="3420" w:type="dxa"/>
            <w:shd w:val="clear" w:color="auto" w:fill="auto"/>
            <w:vAlign w:val="center"/>
          </w:tcPr>
          <w:p w14:paraId="12276AF5" w14:textId="427C55A0" w:rsidR="00AC5386" w:rsidRPr="00333D9E" w:rsidRDefault="002D2754" w:rsidP="002D2754">
            <w:pPr>
              <w:spacing w:before="120" w:after="120"/>
              <w:jc w:val="right"/>
              <w:rPr>
                <w:kern w:val="2"/>
              </w:rPr>
            </w:pPr>
            <w:r>
              <w:rPr>
                <w:kern w:val="2"/>
              </w:rPr>
              <w:t>$70,403,392</w:t>
            </w:r>
          </w:p>
        </w:tc>
      </w:tr>
      <w:tr w:rsidR="00AC5386" w:rsidRPr="00333D9E" w14:paraId="12276AF9" w14:textId="77777777" w:rsidTr="00EB1FAE">
        <w:trPr>
          <w:trHeight w:val="720"/>
        </w:trPr>
        <w:tc>
          <w:tcPr>
            <w:tcW w:w="1260" w:type="dxa"/>
            <w:shd w:val="clear" w:color="auto" w:fill="auto"/>
            <w:vAlign w:val="center"/>
          </w:tcPr>
          <w:p w14:paraId="12276AF7" w14:textId="3BF2FADE" w:rsidR="00AC5386" w:rsidRPr="00006706" w:rsidRDefault="0043280A" w:rsidP="00567018">
            <w:pPr>
              <w:spacing w:before="120" w:after="120"/>
              <w:jc w:val="center"/>
              <w:rPr>
                <w:b/>
                <w:kern w:val="2"/>
              </w:rPr>
            </w:pPr>
            <w:r w:rsidRPr="00006706">
              <w:rPr>
                <w:b/>
                <w:kern w:val="2"/>
              </w:rPr>
              <w:t xml:space="preserve">SFY </w:t>
            </w:r>
            <w:r w:rsidR="00567018">
              <w:rPr>
                <w:b/>
                <w:kern w:val="2"/>
              </w:rPr>
              <w:t>2018</w:t>
            </w:r>
          </w:p>
        </w:tc>
        <w:tc>
          <w:tcPr>
            <w:tcW w:w="3420" w:type="dxa"/>
            <w:shd w:val="clear" w:color="auto" w:fill="auto"/>
            <w:vAlign w:val="center"/>
          </w:tcPr>
          <w:p w14:paraId="12276AF8" w14:textId="77777777" w:rsidR="00AC5386" w:rsidRPr="00333D9E" w:rsidRDefault="00AC5386" w:rsidP="002D2754">
            <w:pPr>
              <w:spacing w:before="120" w:after="120"/>
              <w:jc w:val="right"/>
              <w:rPr>
                <w:kern w:val="2"/>
              </w:rPr>
            </w:pPr>
          </w:p>
        </w:tc>
      </w:tr>
    </w:tbl>
    <w:p w14:paraId="12276AFA" w14:textId="47A68F17" w:rsidR="00FA1B67" w:rsidRPr="002D2754" w:rsidRDefault="002D2754" w:rsidP="00DD5811">
      <w:pPr>
        <w:tabs>
          <w:tab w:val="left" w:leader="underscore" w:pos="6480"/>
        </w:tabs>
        <w:spacing w:before="480"/>
        <w:rPr>
          <w:kern w:val="2"/>
          <w:u w:val="single"/>
        </w:rPr>
      </w:pPr>
      <w:r w:rsidRPr="002D2754">
        <w:rPr>
          <w:kern w:val="2"/>
          <w:u w:val="single"/>
        </w:rPr>
        <w:t>Matt Flett</w:t>
      </w:r>
      <w:r w:rsidR="00DD5811" w:rsidRPr="002D2754">
        <w:rPr>
          <w:kern w:val="2"/>
          <w:u w:val="single"/>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bookmarkStart w:id="0" w:name="_GoBack"/>
      <w:bookmarkEnd w:id="0"/>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77777777" w:rsidR="00055652" w:rsidRPr="00333D9E" w:rsidRDefault="00055652">
      <w:pPr>
        <w:rPr>
          <w:kern w:val="2"/>
        </w:rPr>
      </w:pPr>
    </w:p>
    <w:sectPr w:rsidR="00055652" w:rsidRPr="00333D9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1FFA" w14:textId="77777777" w:rsidR="00D76DF9" w:rsidRDefault="00D76DF9">
      <w:r>
        <w:separator/>
      </w:r>
    </w:p>
  </w:endnote>
  <w:endnote w:type="continuationSeparator" w:id="0">
    <w:p w14:paraId="6B8C7DC4" w14:textId="77777777" w:rsidR="00D76DF9" w:rsidRDefault="00D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D6209ED"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567018">
      <w:rPr>
        <w:sz w:val="18"/>
      </w:rPr>
      <w:t>2019</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837470">
      <w:rPr>
        <w:rStyle w:val="PageNumber"/>
        <w:noProof/>
      </w:rPr>
      <w:t>1</w:t>
    </w:r>
    <w:r>
      <w:rPr>
        <w:rStyle w:val="PageNumber"/>
      </w:rPr>
      <w:fldChar w:fldCharType="end"/>
    </w:r>
    <w:r>
      <w:rPr>
        <w:sz w:val="18"/>
      </w:rPr>
      <w:t xml:space="preserve"> </w:t>
    </w:r>
  </w:p>
  <w:p w14:paraId="12276B08" w14:textId="1DAF4F6B" w:rsidR="00701EBB" w:rsidRDefault="00701EBB">
    <w:pPr>
      <w:pStyle w:val="Footer"/>
      <w:rPr>
        <w:sz w:val="18"/>
      </w:rPr>
    </w:pPr>
    <w:r>
      <w:rPr>
        <w:sz w:val="18"/>
      </w:rPr>
      <w:t xml:space="preserve">OMB No. 1820-0030/Expiration Date – </w:t>
    </w:r>
    <w:r w:rsidR="008C41E7">
      <w:rPr>
        <w:sz w:val="18"/>
      </w:rPr>
      <w:t>8-31-2021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7E73A52D"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567018">
      <w:rPr>
        <w:sz w:val="18"/>
      </w:rPr>
      <w:t>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2</w:t>
    </w:r>
    <w:r>
      <w:rPr>
        <w:rStyle w:val="PageNumber"/>
        <w:sz w:val="18"/>
      </w:rPr>
      <w:fldChar w:fldCharType="end"/>
    </w:r>
    <w:r>
      <w:rPr>
        <w:sz w:val="18"/>
      </w:rPr>
      <w:t xml:space="preserve"> </w:t>
    </w:r>
  </w:p>
  <w:p w14:paraId="12276B0A" w14:textId="3594B41F" w:rsidR="00701EBB" w:rsidRDefault="00701EBB">
    <w:pPr>
      <w:pStyle w:val="Footer"/>
      <w:rPr>
        <w:sz w:val="18"/>
      </w:rPr>
    </w:pPr>
    <w:r>
      <w:rPr>
        <w:sz w:val="18"/>
      </w:rPr>
      <w:t xml:space="preserve">OMB No. 1820-0030/Expiration Date - </w:t>
    </w:r>
    <w:r w:rsidR="008C41E7">
      <w:rPr>
        <w:sz w:val="18"/>
      </w:rPr>
      <w:t>8-31-2021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2F27B6E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8</w:t>
    </w:r>
    <w:r>
      <w:rPr>
        <w:rStyle w:val="PageNumber"/>
        <w:sz w:val="18"/>
      </w:rPr>
      <w:fldChar w:fldCharType="end"/>
    </w:r>
    <w:r>
      <w:rPr>
        <w:sz w:val="18"/>
      </w:rPr>
      <w:t xml:space="preserve"> </w:t>
    </w:r>
  </w:p>
  <w:p w14:paraId="12276B0C" w14:textId="21A0EDBA" w:rsidR="00701EBB" w:rsidRDefault="00701EBB" w:rsidP="00837470">
    <w:pPr>
      <w:pStyle w:val="Footer"/>
      <w:tabs>
        <w:tab w:val="clear" w:pos="8640"/>
        <w:tab w:val="left" w:pos="5250"/>
      </w:tabs>
      <w:rPr>
        <w:sz w:val="18"/>
      </w:rPr>
    </w:pPr>
    <w:r>
      <w:rPr>
        <w:sz w:val="18"/>
      </w:rPr>
      <w:t xml:space="preserve">OMB No. 1820-0030/Expiration Date - </w:t>
    </w:r>
    <w:r w:rsidR="008C41E7">
      <w:rPr>
        <w:sz w:val="18"/>
      </w:rPr>
      <w:t>8-31-2021</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5CCAD52"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0E" w14:textId="0821F7D6" w:rsidR="00701EBB" w:rsidRDefault="00701EBB">
    <w:pPr>
      <w:pStyle w:val="Footer"/>
      <w:rPr>
        <w:sz w:val="18"/>
      </w:rPr>
    </w:pPr>
    <w:r>
      <w:rPr>
        <w:sz w:val="18"/>
      </w:rPr>
      <w:t xml:space="preserve">OMB No. 1820-0030/Expiration Date </w:t>
    </w:r>
    <w:r w:rsidR="00340C5F">
      <w:rPr>
        <w:sz w:val="18"/>
      </w:rPr>
      <w:t>–</w:t>
    </w:r>
    <w:r>
      <w:rPr>
        <w:sz w:val="18"/>
      </w:rPr>
      <w:t xml:space="preserve"> </w:t>
    </w:r>
    <w:r w:rsidR="008C41E7">
      <w:rPr>
        <w:sz w:val="18"/>
      </w:rPr>
      <w:t>8-31-2021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1A2D867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10" w14:textId="5F8B4B48" w:rsidR="00701EBB" w:rsidRDefault="00701EBB">
    <w:pPr>
      <w:pStyle w:val="Footer"/>
      <w:rPr>
        <w:sz w:val="18"/>
      </w:rPr>
    </w:pPr>
    <w:r>
      <w:rPr>
        <w:sz w:val="18"/>
      </w:rPr>
      <w:t xml:space="preserve">OMB No. 1820-0030/Expiration Date - </w:t>
    </w:r>
    <w:r w:rsidR="008C41E7">
      <w:rPr>
        <w:sz w:val="18"/>
      </w:rPr>
      <w:t>8-31-2021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7DD3E5C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D3A">
      <w:rPr>
        <w:sz w:val="18"/>
      </w:rPr>
      <w:t>2019</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837470">
      <w:rPr>
        <w:rStyle w:val="PageNumber"/>
        <w:noProof/>
        <w:sz w:val="18"/>
      </w:rPr>
      <w:t>1</w:t>
    </w:r>
    <w:r>
      <w:rPr>
        <w:rStyle w:val="PageNumber"/>
        <w:sz w:val="18"/>
      </w:rPr>
      <w:fldChar w:fldCharType="end"/>
    </w:r>
    <w:r>
      <w:rPr>
        <w:sz w:val="18"/>
      </w:rPr>
      <w:t xml:space="preserve"> </w:t>
    </w:r>
  </w:p>
  <w:p w14:paraId="12276B12" w14:textId="45227D86" w:rsidR="00701EBB" w:rsidRDefault="00701EBB">
    <w:pPr>
      <w:pStyle w:val="Footer"/>
      <w:rPr>
        <w:sz w:val="18"/>
      </w:rPr>
    </w:pPr>
    <w:r>
      <w:rPr>
        <w:sz w:val="18"/>
      </w:rPr>
      <w:t xml:space="preserve">OMB No. 1820-0030/Expiration Date - </w:t>
    </w:r>
    <w:r w:rsidR="008C41E7">
      <w:rPr>
        <w:sz w:val="18"/>
      </w:rPr>
      <w:t>8-31-2021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2586" w14:textId="77777777" w:rsidR="00D76DF9" w:rsidRDefault="00D76DF9">
      <w:r>
        <w:separator/>
      </w:r>
    </w:p>
  </w:footnote>
  <w:footnote w:type="continuationSeparator" w:id="0">
    <w:p w14:paraId="655E03C3" w14:textId="77777777" w:rsidR="00D76DF9" w:rsidRDefault="00D76DF9">
      <w:r>
        <w:continuationSeparator/>
      </w:r>
    </w:p>
  </w:footnote>
  <w:footnote w:id="1">
    <w:p w14:paraId="12276B13" w14:textId="77777777"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163A4DD7" w:rsidR="00701EBB" w:rsidRPr="005F20AB" w:rsidRDefault="00701EBB" w:rsidP="00333D9E">
    <w:pPr>
      <w:pStyle w:val="Header"/>
      <w:tabs>
        <w:tab w:val="clear" w:pos="4320"/>
        <w:tab w:val="clear" w:pos="8640"/>
        <w:tab w:val="left" w:pos="7200"/>
        <w:tab w:val="right" w:leader="underscore" w:pos="9360"/>
      </w:tabs>
      <w:rPr>
        <w:u w:val="single"/>
      </w:rPr>
    </w:pPr>
    <w:r>
      <w:tab/>
    </w:r>
    <w:r w:rsidR="005F20AB" w:rsidRPr="005F20AB">
      <w:rPr>
        <w:u w:val="single"/>
      </w:rPr>
      <w:t>South Dakota</w:t>
    </w:r>
    <w:r w:rsidR="00333D9E" w:rsidRPr="005F20AB">
      <w:rPr>
        <w:u w:val="single"/>
      </w:rPr>
      <w:tab/>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40310"/>
    <w:rsid w:val="00050B14"/>
    <w:rsid w:val="00051B0B"/>
    <w:rsid w:val="00055652"/>
    <w:rsid w:val="00070502"/>
    <w:rsid w:val="000B68C6"/>
    <w:rsid w:val="000C2CCF"/>
    <w:rsid w:val="000D7011"/>
    <w:rsid w:val="000D7082"/>
    <w:rsid w:val="000E0C19"/>
    <w:rsid w:val="0010318B"/>
    <w:rsid w:val="00120A1B"/>
    <w:rsid w:val="00142F78"/>
    <w:rsid w:val="00164602"/>
    <w:rsid w:val="00183BA9"/>
    <w:rsid w:val="001B2E1A"/>
    <w:rsid w:val="001B79B6"/>
    <w:rsid w:val="001C003A"/>
    <w:rsid w:val="001D0AFA"/>
    <w:rsid w:val="001D3260"/>
    <w:rsid w:val="001D56CC"/>
    <w:rsid w:val="001F3F9A"/>
    <w:rsid w:val="002017CB"/>
    <w:rsid w:val="00204441"/>
    <w:rsid w:val="002348D2"/>
    <w:rsid w:val="00253431"/>
    <w:rsid w:val="002649A7"/>
    <w:rsid w:val="00266408"/>
    <w:rsid w:val="0029425D"/>
    <w:rsid w:val="00294994"/>
    <w:rsid w:val="00296AD0"/>
    <w:rsid w:val="002A7856"/>
    <w:rsid w:val="002B1111"/>
    <w:rsid w:val="002C630F"/>
    <w:rsid w:val="002D2754"/>
    <w:rsid w:val="002D4297"/>
    <w:rsid w:val="002D62A4"/>
    <w:rsid w:val="002E1BAA"/>
    <w:rsid w:val="00301905"/>
    <w:rsid w:val="0032044C"/>
    <w:rsid w:val="00322944"/>
    <w:rsid w:val="00327D6D"/>
    <w:rsid w:val="00330054"/>
    <w:rsid w:val="00333D9E"/>
    <w:rsid w:val="00340C5F"/>
    <w:rsid w:val="003A70AF"/>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67018"/>
    <w:rsid w:val="00570F49"/>
    <w:rsid w:val="005F20AB"/>
    <w:rsid w:val="00605CA4"/>
    <w:rsid w:val="00630178"/>
    <w:rsid w:val="006347B7"/>
    <w:rsid w:val="00655EE3"/>
    <w:rsid w:val="00660A25"/>
    <w:rsid w:val="006749D5"/>
    <w:rsid w:val="00697991"/>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0420"/>
    <w:rsid w:val="00833C78"/>
    <w:rsid w:val="00837470"/>
    <w:rsid w:val="00856E6E"/>
    <w:rsid w:val="008622DB"/>
    <w:rsid w:val="00875E58"/>
    <w:rsid w:val="00876700"/>
    <w:rsid w:val="00882BB6"/>
    <w:rsid w:val="008863DC"/>
    <w:rsid w:val="008A0BB4"/>
    <w:rsid w:val="008C41E7"/>
    <w:rsid w:val="008F57EB"/>
    <w:rsid w:val="008F6EAC"/>
    <w:rsid w:val="009000E3"/>
    <w:rsid w:val="00924603"/>
    <w:rsid w:val="00935134"/>
    <w:rsid w:val="00950154"/>
    <w:rsid w:val="009513C2"/>
    <w:rsid w:val="00951E3E"/>
    <w:rsid w:val="00994C8A"/>
    <w:rsid w:val="009A3E8E"/>
    <w:rsid w:val="009B18BA"/>
    <w:rsid w:val="009C4F5D"/>
    <w:rsid w:val="009D1448"/>
    <w:rsid w:val="00A26EE9"/>
    <w:rsid w:val="00A56AFE"/>
    <w:rsid w:val="00AA3D77"/>
    <w:rsid w:val="00AA4AED"/>
    <w:rsid w:val="00AB4578"/>
    <w:rsid w:val="00AB5547"/>
    <w:rsid w:val="00AC5386"/>
    <w:rsid w:val="00B15C38"/>
    <w:rsid w:val="00B22E08"/>
    <w:rsid w:val="00B703A9"/>
    <w:rsid w:val="00B7548C"/>
    <w:rsid w:val="00B83F91"/>
    <w:rsid w:val="00B95BE0"/>
    <w:rsid w:val="00BB6813"/>
    <w:rsid w:val="00BF055B"/>
    <w:rsid w:val="00C46980"/>
    <w:rsid w:val="00C5705E"/>
    <w:rsid w:val="00C80363"/>
    <w:rsid w:val="00C843DE"/>
    <w:rsid w:val="00C9157B"/>
    <w:rsid w:val="00C95E5E"/>
    <w:rsid w:val="00CA57E0"/>
    <w:rsid w:val="00CB6395"/>
    <w:rsid w:val="00CC3479"/>
    <w:rsid w:val="00CC7F43"/>
    <w:rsid w:val="00CE1D3A"/>
    <w:rsid w:val="00CF314C"/>
    <w:rsid w:val="00CF739B"/>
    <w:rsid w:val="00D33E36"/>
    <w:rsid w:val="00D3683F"/>
    <w:rsid w:val="00D71563"/>
    <w:rsid w:val="00D76DF9"/>
    <w:rsid w:val="00D82BD0"/>
    <w:rsid w:val="00D83CD0"/>
    <w:rsid w:val="00DA2E08"/>
    <w:rsid w:val="00DD5811"/>
    <w:rsid w:val="00E135C2"/>
    <w:rsid w:val="00E362C5"/>
    <w:rsid w:val="00E37434"/>
    <w:rsid w:val="00E502F0"/>
    <w:rsid w:val="00E736A4"/>
    <w:rsid w:val="00EB1FAE"/>
    <w:rsid w:val="00EB7DA0"/>
    <w:rsid w:val="00EC688F"/>
    <w:rsid w:val="00F050A2"/>
    <w:rsid w:val="00F27FEB"/>
    <w:rsid w:val="00F43F3E"/>
    <w:rsid w:val="00F577DB"/>
    <w:rsid w:val="00F96AFB"/>
    <w:rsid w:val="00FA17EE"/>
    <w:rsid w:val="00FA1B67"/>
    <w:rsid w:val="00FB0645"/>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76A15"/>
  <w15:docId w15:val="{6C722905-F5CA-45CA-A2E9-4D1196D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8" ma:contentTypeDescription="Create a new document." ma:contentTypeScope="" ma:versionID="5108c299a234b5e1700e3025bf83bfc3">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2da2a880ef768dbe94db0830890380b2"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F49F-7EE1-4205-957B-1E16CB71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DD774DDE-ECCF-42DB-AFBD-D19B90D8BF05}">
  <ds:schemaRef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ffcb171c-5eb6-4b7e-bff7-850b4441ed9e"/>
    <ds:schemaRef ds:uri="dd23999d-55bb-4b1f-885e-83712e5c49df"/>
  </ds:schemaRefs>
</ds:datastoreItem>
</file>

<file path=customXml/itemProps4.xml><?xml version="1.0" encoding="utf-8"?>
<ds:datastoreItem xmlns:ds="http://schemas.openxmlformats.org/officeDocument/2006/customXml" ds:itemID="{6862029F-E8A6-4BB0-9C9A-DEBE3BF0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3726</Words>
  <Characters>20739</Characters>
  <Application>Microsoft Office Word</Application>
  <DocSecurity>0</DocSecurity>
  <Lines>531</Lines>
  <Paragraphs>124</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24341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Turner, Linda</cp:lastModifiedBy>
  <cp:revision>3</cp:revision>
  <cp:lastPrinted>2016-12-14T16:51:00Z</cp:lastPrinted>
  <dcterms:created xsi:type="dcterms:W3CDTF">2019-02-15T21:10:00Z</dcterms:created>
  <dcterms:modified xsi:type="dcterms:W3CDTF">2019-02-15T21:50:00Z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0x010100A36E7717F94A9B47B67BC10AE3D60E79</vt:lpwstr>
  </property>
  <property fmtid="{D5CDD505-2E9C-101B-9397-08002B2CF9AE}" pid="4" name="Order">
    <vt:r8>100</vt:r8>
  </property>
</Properties>
</file>